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bidiVisual/>
        <w:tblW w:w="8849" w:type="dxa"/>
        <w:jc w:val="center"/>
        <w:tblLook w:val="04A0" w:firstRow="1" w:lastRow="0" w:firstColumn="1" w:lastColumn="0" w:noHBand="0" w:noVBand="1"/>
      </w:tblPr>
      <w:tblGrid>
        <w:gridCol w:w="8849"/>
      </w:tblGrid>
      <w:tr w:rsidR="00EA2AA2" w:rsidTr="00EA2AA2">
        <w:trPr>
          <w:trHeight w:val="360"/>
          <w:jc w:val="center"/>
        </w:trPr>
        <w:tc>
          <w:tcPr>
            <w:tcW w:w="8849" w:type="dxa"/>
            <w:hideMark/>
          </w:tcPr>
          <w:p w:rsidR="00EA2AA2" w:rsidRDefault="0094424E" w:rsidP="00EA2AA2">
            <w:pPr>
              <w:suppressLineNumbers/>
              <w:spacing w:line="360" w:lineRule="auto"/>
              <w:ind w:left="319"/>
              <w:rPr>
                <w:b/>
                <w:bCs/>
                <w:noProof w:val="0"/>
                <w:rtl/>
              </w:rPr>
            </w:pPr>
            <w:bookmarkStart w:id="0" w:name="_GoBack"/>
            <w:bookmarkEnd w:id="0"/>
            <w:r>
              <w:rPr>
                <w:rtl/>
              </w:rPr>
              <w:t xml:space="preserve"> </w:t>
            </w:r>
            <w:r w:rsidR="00EA2AA2">
              <w:rPr>
                <w:rFonts w:hint="cs"/>
                <w:b/>
                <w:bCs/>
                <w:rtl/>
              </w:rPr>
              <w:t xml:space="preserve">לפני כבוד הרכב השופטים: </w:t>
            </w:r>
          </w:p>
          <w:p w:rsidR="00EA2AA2" w:rsidRDefault="00EA2AA2" w:rsidP="00EA2AA2">
            <w:pPr>
              <w:suppressLineNumbers/>
              <w:spacing w:line="360" w:lineRule="auto"/>
              <w:ind w:left="319"/>
              <w:rPr>
                <w:b/>
                <w:bCs/>
                <w:rtl/>
              </w:rPr>
            </w:pPr>
            <w:r>
              <w:rPr>
                <w:rFonts w:hint="cs"/>
                <w:b/>
                <w:bCs/>
                <w:rtl/>
              </w:rPr>
              <w:t xml:space="preserve">סארי ג'יוסי  [אב"ד] </w:t>
            </w:r>
          </w:p>
          <w:p w:rsidR="00EA2AA2" w:rsidRDefault="005A3D02" w:rsidP="00EA2AA2">
            <w:pPr>
              <w:suppressLineNumbers/>
              <w:spacing w:line="360" w:lineRule="auto"/>
              <w:ind w:left="319"/>
              <w:rPr>
                <w:rtl/>
              </w:rPr>
            </w:pPr>
            <w:sdt>
              <w:sdtPr>
                <w:rPr>
                  <w:rFonts w:hint="cs"/>
                  <w:rtl/>
                </w:rPr>
                <w:alias w:val="165"/>
                <w:tag w:val="165"/>
                <w:id w:val="584732177"/>
                <w:text w:multiLine="1"/>
              </w:sdtPr>
              <w:sdtEndPr/>
              <w:sdtContent>
                <w:r w:rsidR="00EA2AA2">
                  <w:rPr>
                    <w:rFonts w:hint="cs"/>
                    <w:b/>
                    <w:bCs/>
                    <w:rtl/>
                  </w:rPr>
                  <w:t>עפרה אטיאס</w:t>
                </w:r>
              </w:sdtContent>
            </w:sdt>
          </w:p>
          <w:p w:rsidR="00EA2AA2" w:rsidRDefault="00EA2AA2" w:rsidP="00EA2AA2">
            <w:pPr>
              <w:suppressLineNumbers/>
              <w:spacing w:line="360" w:lineRule="auto"/>
              <w:ind w:left="319"/>
              <w:rPr>
                <w:b/>
                <w:bCs/>
                <w:rtl/>
              </w:rPr>
            </w:pPr>
            <w:r>
              <w:rPr>
                <w:rFonts w:hint="cs"/>
                <w:b/>
                <w:bCs/>
                <w:rtl/>
              </w:rPr>
              <w:t>ניצן סילמן</w:t>
            </w:r>
          </w:p>
        </w:tc>
      </w:tr>
    </w:tbl>
    <w:tbl>
      <w:tblPr>
        <w:tblStyle w:val="a9"/>
        <w:bidiVisual/>
        <w:tblW w:w="8980"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4"/>
        <w:gridCol w:w="3212"/>
        <w:gridCol w:w="5608"/>
        <w:gridCol w:w="126"/>
      </w:tblGrid>
      <w:tr w:rsidR="00EA2AA2" w:rsidTr="00082F61">
        <w:tc>
          <w:tcPr>
            <w:tcW w:w="3246" w:type="dxa"/>
            <w:gridSpan w:val="2"/>
          </w:tcPr>
          <w:p w:rsidR="00EA2AA2" w:rsidRDefault="00EA2AA2">
            <w:pPr>
              <w:suppressLineNumbers/>
              <w:rPr>
                <w:rFonts w:ascii="David" w:eastAsia="David" w:hAnsi="David"/>
                <w:b/>
                <w:bCs/>
              </w:rPr>
            </w:pPr>
          </w:p>
          <w:p w:rsidR="00EA2AA2" w:rsidRPr="00EA2AA2" w:rsidRDefault="00EA2AA2">
            <w:pPr>
              <w:suppressLineNumbers/>
              <w:rPr>
                <w:rFonts w:ascii="David" w:eastAsia="David" w:hAnsi="David"/>
                <w:b/>
                <w:bCs/>
                <w:u w:val="single"/>
                <w:rtl/>
              </w:rPr>
            </w:pPr>
            <w:r w:rsidRPr="00EA2AA2">
              <w:rPr>
                <w:rFonts w:ascii="David" w:eastAsia="David" w:hAnsi="David" w:hint="cs"/>
                <w:b/>
                <w:bCs/>
                <w:u w:val="single"/>
                <w:rtl/>
              </w:rPr>
              <w:t>המערער</w:t>
            </w:r>
          </w:p>
        </w:tc>
        <w:tc>
          <w:tcPr>
            <w:tcW w:w="5734" w:type="dxa"/>
            <w:gridSpan w:val="2"/>
          </w:tcPr>
          <w:p w:rsidR="00EA2AA2" w:rsidRDefault="00EA2AA2">
            <w:pPr>
              <w:suppressLineNumbers/>
              <w:rPr>
                <w:rFonts w:cs="Times New Roman"/>
                <w:b/>
                <w:bCs/>
                <w:rtl/>
              </w:rPr>
            </w:pPr>
          </w:p>
          <w:p w:rsidR="00EA2AA2" w:rsidRDefault="008A2720">
            <w:pPr>
              <w:suppressLineNumbers/>
              <w:rPr>
                <w:rtl/>
              </w:rPr>
            </w:pPr>
            <w:r>
              <w:rPr>
                <w:rFonts w:ascii="David" w:eastAsia="David" w:hAnsi="David" w:hint="cs"/>
                <w:b/>
                <w:bCs/>
                <w:rtl/>
              </w:rPr>
              <w:t>פלוני</w:t>
            </w:r>
          </w:p>
          <w:p w:rsidR="00EA2AA2" w:rsidRPr="00EA2AA2" w:rsidRDefault="00EA2AA2">
            <w:pPr>
              <w:suppressLineNumbers/>
              <w:rPr>
                <w:rFonts w:ascii="David" w:eastAsia="David" w:hAnsi="David"/>
              </w:rPr>
            </w:pPr>
            <w:r w:rsidRPr="00EA2AA2">
              <w:rPr>
                <w:rFonts w:ascii="David" w:eastAsia="David" w:hAnsi="David" w:hint="cs"/>
                <w:rtl/>
              </w:rPr>
              <w:t>ע"י ב"כ עו"ד אמיר נאטור</w:t>
            </w:r>
          </w:p>
        </w:tc>
      </w:tr>
      <w:tr w:rsidR="00EA2AA2" w:rsidTr="00082F61">
        <w:tc>
          <w:tcPr>
            <w:tcW w:w="8980" w:type="dxa"/>
            <w:gridSpan w:val="4"/>
          </w:tcPr>
          <w:p w:rsidR="00EA2AA2" w:rsidRDefault="00EA2AA2">
            <w:pPr>
              <w:suppressLineNumbers/>
              <w:rPr>
                <w:rFonts w:ascii="David" w:eastAsia="David" w:hAnsi="David"/>
                <w:b/>
                <w:bCs/>
                <w:rtl/>
              </w:rPr>
            </w:pPr>
          </w:p>
          <w:p w:rsidR="00EA2AA2" w:rsidRDefault="00EA2AA2">
            <w:pPr>
              <w:suppressLineNumbers/>
              <w:jc w:val="center"/>
              <w:rPr>
                <w:rFonts w:ascii="David" w:eastAsia="David" w:hAnsi="David"/>
                <w:b/>
                <w:bCs/>
                <w:rtl/>
              </w:rPr>
            </w:pPr>
            <w:r>
              <w:rPr>
                <w:rFonts w:ascii="David" w:eastAsia="David" w:hAnsi="David" w:hint="cs"/>
                <w:b/>
                <w:bCs/>
                <w:rtl/>
              </w:rPr>
              <w:t>נגד</w:t>
            </w:r>
          </w:p>
          <w:p w:rsidR="00EA2AA2" w:rsidRDefault="00EA2AA2">
            <w:pPr>
              <w:suppressLineNumbers/>
              <w:rPr>
                <w:rFonts w:ascii="David" w:eastAsia="David" w:hAnsi="David"/>
                <w:b/>
                <w:bCs/>
                <w:rtl/>
              </w:rPr>
            </w:pPr>
          </w:p>
        </w:tc>
      </w:tr>
      <w:tr w:rsidR="00EA2AA2" w:rsidTr="00082F61">
        <w:trPr>
          <w:trHeight w:val="740"/>
        </w:trPr>
        <w:tc>
          <w:tcPr>
            <w:tcW w:w="3246" w:type="dxa"/>
            <w:gridSpan w:val="2"/>
            <w:hideMark/>
          </w:tcPr>
          <w:p w:rsidR="00EA2AA2" w:rsidRPr="00EA2AA2" w:rsidRDefault="00EA2AA2">
            <w:pPr>
              <w:suppressLineNumbers/>
              <w:rPr>
                <w:rFonts w:ascii="David" w:eastAsia="David" w:hAnsi="David"/>
                <w:b/>
                <w:bCs/>
                <w:u w:val="single"/>
                <w:rtl/>
              </w:rPr>
            </w:pPr>
            <w:r w:rsidRPr="00EA2AA2">
              <w:rPr>
                <w:rFonts w:ascii="David" w:eastAsia="David" w:hAnsi="David" w:hint="cs"/>
                <w:b/>
                <w:bCs/>
                <w:u w:val="single"/>
                <w:rtl/>
              </w:rPr>
              <w:t>המשיבות</w:t>
            </w:r>
          </w:p>
        </w:tc>
        <w:tc>
          <w:tcPr>
            <w:tcW w:w="5734" w:type="dxa"/>
            <w:gridSpan w:val="2"/>
            <w:hideMark/>
          </w:tcPr>
          <w:p w:rsidR="00EA2AA2" w:rsidRDefault="00EA2AA2" w:rsidP="008A2720">
            <w:pPr>
              <w:pStyle w:val="12"/>
              <w:rPr>
                <w:rFonts w:cs="Times New Roman"/>
                <w:b w:val="0"/>
                <w:bCs w:val="0"/>
                <w:u w:val="none"/>
                <w:rtl/>
              </w:rPr>
            </w:pPr>
            <w:r>
              <w:rPr>
                <w:rFonts w:ascii="David" w:eastAsia="David" w:hAnsi="David"/>
                <w:u w:val="none"/>
                <w:rtl/>
              </w:rPr>
              <w:t xml:space="preserve">1. </w:t>
            </w:r>
            <w:r w:rsidR="008A2720">
              <w:rPr>
                <w:rFonts w:ascii="David" w:eastAsia="David" w:hAnsi="David" w:hint="cs"/>
                <w:u w:val="none"/>
                <w:rtl/>
              </w:rPr>
              <w:t xml:space="preserve">פלונית </w:t>
            </w:r>
          </w:p>
          <w:p w:rsidR="00082F61" w:rsidRDefault="008C4D98" w:rsidP="00082F61">
            <w:pPr>
              <w:pStyle w:val="12"/>
              <w:rPr>
                <w:rFonts w:ascii="David" w:hAnsi="David"/>
                <w:b w:val="0"/>
                <w:bCs w:val="0"/>
                <w:u w:val="none"/>
                <w:rtl/>
              </w:rPr>
            </w:pPr>
            <w:r>
              <w:rPr>
                <w:rFonts w:cs="Times New Roman" w:hint="cs"/>
                <w:b w:val="0"/>
                <w:bCs w:val="0"/>
                <w:u w:val="none"/>
                <w:rtl/>
              </w:rPr>
              <w:t xml:space="preserve"> </w:t>
            </w:r>
            <w:r w:rsidRPr="008C4D98">
              <w:rPr>
                <w:rFonts w:ascii="David" w:hAnsi="David"/>
                <w:b w:val="0"/>
                <w:bCs w:val="0"/>
                <w:u w:val="none"/>
                <w:rtl/>
              </w:rPr>
              <w:t>ע"י ב"כ עו"ד אריאלה רוזנטל סודרי</w:t>
            </w:r>
          </w:p>
          <w:p w:rsidR="00082F61" w:rsidRPr="008C4D98" w:rsidRDefault="00082F61" w:rsidP="00082F61">
            <w:pPr>
              <w:pStyle w:val="12"/>
              <w:rPr>
                <w:rFonts w:ascii="David" w:hAnsi="David"/>
                <w:b w:val="0"/>
                <w:bCs w:val="0"/>
                <w:u w:val="none"/>
                <w:rtl/>
              </w:rPr>
            </w:pPr>
          </w:p>
          <w:p w:rsidR="00EA2AA2" w:rsidRDefault="00EA2AA2" w:rsidP="00082F61">
            <w:pPr>
              <w:pStyle w:val="12"/>
              <w:rPr>
                <w:rFonts w:ascii="David" w:hAnsi="David"/>
                <w:u w:val="none"/>
                <w:rtl/>
              </w:rPr>
            </w:pPr>
            <w:r>
              <w:rPr>
                <w:rFonts w:ascii="David" w:hAnsi="David"/>
                <w:u w:val="none"/>
                <w:rtl/>
              </w:rPr>
              <w:t xml:space="preserve">2. </w:t>
            </w:r>
            <w:r w:rsidR="00082F61">
              <w:rPr>
                <w:rFonts w:ascii="David" w:hAnsi="David" w:hint="cs"/>
                <w:u w:val="none"/>
                <w:rtl/>
              </w:rPr>
              <w:t>ל' ילידת 2022</w:t>
            </w:r>
            <w:r>
              <w:rPr>
                <w:rFonts w:ascii="David" w:hAnsi="David"/>
                <w:u w:val="none"/>
                <w:rtl/>
              </w:rPr>
              <w:t xml:space="preserve"> </w:t>
            </w:r>
          </w:p>
          <w:p w:rsidR="00EA2AA2" w:rsidRDefault="008C4D98">
            <w:pPr>
              <w:pStyle w:val="12"/>
              <w:rPr>
                <w:rFonts w:ascii="David" w:hAnsi="David"/>
                <w:b w:val="0"/>
                <w:bCs w:val="0"/>
                <w:sz w:val="22"/>
                <w:szCs w:val="22"/>
                <w:u w:val="none"/>
                <w:rtl/>
              </w:rPr>
            </w:pPr>
            <w:r>
              <w:rPr>
                <w:rFonts w:ascii="David" w:hAnsi="David"/>
                <w:b w:val="0"/>
                <w:bCs w:val="0"/>
                <w:sz w:val="22"/>
                <w:szCs w:val="22"/>
                <w:u w:val="none"/>
                <w:rtl/>
              </w:rPr>
              <w:t>ע</w:t>
            </w:r>
            <w:r>
              <w:rPr>
                <w:rFonts w:ascii="David" w:hAnsi="David" w:hint="cs"/>
                <w:b w:val="0"/>
                <w:bCs w:val="0"/>
                <w:sz w:val="22"/>
                <w:szCs w:val="22"/>
                <w:u w:val="none"/>
                <w:rtl/>
              </w:rPr>
              <w:t xml:space="preserve">"י </w:t>
            </w:r>
            <w:r w:rsidR="00EA2AA2">
              <w:rPr>
                <w:rFonts w:ascii="David" w:hAnsi="David"/>
                <w:b w:val="0"/>
                <w:bCs w:val="0"/>
                <w:sz w:val="22"/>
                <w:szCs w:val="22"/>
                <w:u w:val="none"/>
                <w:rtl/>
              </w:rPr>
              <w:t xml:space="preserve">האפוטרופוס לדין עו"ד נסרין </w:t>
            </w:r>
            <w:proofErr w:type="spellStart"/>
            <w:r>
              <w:rPr>
                <w:rFonts w:ascii="David" w:hAnsi="David" w:hint="cs"/>
                <w:b w:val="0"/>
                <w:bCs w:val="0"/>
                <w:sz w:val="22"/>
                <w:szCs w:val="22"/>
                <w:u w:val="none"/>
                <w:rtl/>
              </w:rPr>
              <w:t>א</w:t>
            </w:r>
            <w:r>
              <w:rPr>
                <w:rFonts w:ascii="David" w:hAnsi="David"/>
                <w:b w:val="0"/>
                <w:bCs w:val="0"/>
                <w:sz w:val="22"/>
                <w:szCs w:val="22"/>
                <w:u w:val="none"/>
                <w:rtl/>
              </w:rPr>
              <w:t>עלימי</w:t>
            </w:r>
            <w:r>
              <w:rPr>
                <w:rFonts w:ascii="David" w:hAnsi="David" w:hint="cs"/>
                <w:b w:val="0"/>
                <w:bCs w:val="0"/>
                <w:sz w:val="22"/>
                <w:szCs w:val="22"/>
                <w:u w:val="none"/>
                <w:rtl/>
              </w:rPr>
              <w:t>-</w:t>
            </w:r>
            <w:r w:rsidR="00EA2AA2">
              <w:rPr>
                <w:rFonts w:ascii="David" w:hAnsi="David"/>
                <w:b w:val="0"/>
                <w:bCs w:val="0"/>
                <w:sz w:val="22"/>
                <w:szCs w:val="22"/>
                <w:u w:val="none"/>
                <w:rtl/>
              </w:rPr>
              <w:t>קבהה</w:t>
            </w:r>
            <w:proofErr w:type="spellEnd"/>
          </w:p>
        </w:tc>
      </w:tr>
      <w:tr w:rsidR="00694556" w:rsidRPr="00DE1E7D" w:rsidTr="00082F61">
        <w:tblPrEx>
          <w:jc w:val="center"/>
          <w:tblInd w:w="0" w:type="dxa"/>
        </w:tblPrEx>
        <w:trPr>
          <w:gridBefore w:val="1"/>
          <w:gridAfter w:val="1"/>
          <w:wBefore w:w="34" w:type="dxa"/>
          <w:wAfter w:w="126" w:type="dxa"/>
          <w:jc w:val="center"/>
        </w:trPr>
        <w:tc>
          <w:tcPr>
            <w:tcW w:w="8820" w:type="dxa"/>
            <w:gridSpan w:val="2"/>
          </w:tcPr>
          <w:p w:rsidR="00082F61" w:rsidRDefault="00082F61">
            <w:pPr>
              <w:bidi w:val="0"/>
              <w:jc w:val="center"/>
              <w:rPr>
                <w:rFonts w:ascii="Arial" w:hAnsi="Arial"/>
                <w:b/>
                <w:bCs/>
                <w:noProof w:val="0"/>
                <w:sz w:val="28"/>
                <w:szCs w:val="28"/>
                <w:u w:val="single"/>
                <w:rtl/>
              </w:rPr>
            </w:pPr>
          </w:p>
          <w:p w:rsidR="00694556" w:rsidRDefault="003E38C7" w:rsidP="00082F61">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D44968" w:rsidRPr="00543EFF" w:rsidRDefault="00D44968" w:rsidP="00D44968">
            <w:pPr>
              <w:bidi w:val="0"/>
              <w:jc w:val="center"/>
              <w:rPr>
                <w:rFonts w:ascii="Arial" w:hAnsi="Arial"/>
                <w:noProof w:val="0"/>
                <w:sz w:val="10"/>
                <w:szCs w:val="10"/>
                <w:u w:val="single"/>
              </w:rPr>
            </w:pPr>
          </w:p>
          <w:p w:rsidR="00AA7442" w:rsidRPr="00543EFF" w:rsidRDefault="00AA7442" w:rsidP="00AA7442">
            <w:pPr>
              <w:jc w:val="both"/>
              <w:rPr>
                <w:rFonts w:ascii="Arial" w:hAnsi="Arial"/>
                <w:b/>
                <w:bCs/>
                <w:noProof w:val="0"/>
                <w:sz w:val="2"/>
                <w:szCs w:val="2"/>
                <w:u w:val="single"/>
                <w:rtl/>
              </w:rPr>
            </w:pPr>
          </w:p>
        </w:tc>
      </w:tr>
      <w:tr w:rsidR="00543EFF" w:rsidRPr="00DE1E7D" w:rsidTr="00082F61">
        <w:tblPrEx>
          <w:jc w:val="center"/>
          <w:tblInd w:w="0" w:type="dxa"/>
        </w:tblPrEx>
        <w:trPr>
          <w:gridBefore w:val="1"/>
          <w:gridAfter w:val="1"/>
          <w:wBefore w:w="34" w:type="dxa"/>
          <w:wAfter w:w="126" w:type="dxa"/>
          <w:jc w:val="center"/>
        </w:trPr>
        <w:tc>
          <w:tcPr>
            <w:tcW w:w="8820" w:type="dxa"/>
            <w:gridSpan w:val="2"/>
          </w:tcPr>
          <w:p w:rsidR="00543EFF" w:rsidRDefault="00543EFF">
            <w:pPr>
              <w:bidi w:val="0"/>
              <w:jc w:val="center"/>
              <w:rPr>
                <w:rFonts w:ascii="Arial" w:hAnsi="Arial"/>
                <w:b/>
                <w:bCs/>
                <w:noProof w:val="0"/>
                <w:sz w:val="28"/>
                <w:szCs w:val="28"/>
                <w:u w:val="single"/>
                <w:rtl/>
              </w:rPr>
            </w:pPr>
          </w:p>
        </w:tc>
      </w:tr>
    </w:tbl>
    <w:p w:rsidR="00543EFF" w:rsidRDefault="00543EFF" w:rsidP="00475BC2">
      <w:pPr>
        <w:rPr>
          <w:rtl/>
        </w:rPr>
      </w:pPr>
      <w:bookmarkStart w:id="1" w:name="NGCSBookmark"/>
      <w:bookmarkEnd w:id="1"/>
      <w:r w:rsidRPr="00AA7442">
        <w:rPr>
          <w:rFonts w:ascii="Arial" w:hAnsi="Arial" w:hint="cs"/>
          <w:b/>
          <w:bCs/>
          <w:noProof w:val="0"/>
          <w:u w:val="single"/>
          <w:rtl/>
        </w:rPr>
        <w:t xml:space="preserve">השופט ניצן </w:t>
      </w:r>
      <w:proofErr w:type="spellStart"/>
      <w:r w:rsidRPr="00AA7442">
        <w:rPr>
          <w:rFonts w:ascii="Arial" w:hAnsi="Arial" w:hint="cs"/>
          <w:b/>
          <w:bCs/>
          <w:noProof w:val="0"/>
          <w:u w:val="single"/>
          <w:rtl/>
        </w:rPr>
        <w:t>סילמן</w:t>
      </w:r>
      <w:proofErr w:type="spellEnd"/>
      <w:r>
        <w:rPr>
          <w:rFonts w:ascii="Arial" w:hAnsi="Arial" w:hint="cs"/>
          <w:b/>
          <w:bCs/>
          <w:noProof w:val="0"/>
          <w:u w:val="single"/>
          <w:rtl/>
        </w:rPr>
        <w:t>:</w:t>
      </w:r>
    </w:p>
    <w:p w:rsidR="00475BC2" w:rsidRDefault="00475BC2" w:rsidP="00475BC2">
      <w:pPr>
        <w:rPr>
          <w:rFonts w:ascii="Arial" w:hAnsi="Arial"/>
        </w:rPr>
      </w:pPr>
      <w:r>
        <w:rPr>
          <w:rtl/>
        </w:rPr>
        <w:tab/>
      </w:r>
      <w:r>
        <w:rPr>
          <w:rtl/>
        </w:rPr>
        <w:tab/>
      </w:r>
      <w:r>
        <w:rPr>
          <w:rtl/>
        </w:rPr>
        <w:tab/>
      </w:r>
      <w:r>
        <w:rPr>
          <w:rtl/>
        </w:rPr>
        <w:tab/>
      </w:r>
      <w:r>
        <w:rPr>
          <w:rtl/>
        </w:rPr>
        <w:tab/>
      </w:r>
      <w:r>
        <w:rPr>
          <w:rtl/>
        </w:rPr>
        <w:tab/>
      </w:r>
    </w:p>
    <w:p w:rsidR="00475BC2" w:rsidRDefault="00475BC2" w:rsidP="00475BC2">
      <w:pPr>
        <w:spacing w:line="360" w:lineRule="auto"/>
        <w:jc w:val="both"/>
        <w:rPr>
          <w:rFonts w:ascii="Arial" w:hAnsi="Arial"/>
          <w:rtl/>
        </w:rPr>
      </w:pPr>
      <w:r>
        <w:rPr>
          <w:rFonts w:ascii="Arial" w:hAnsi="Arial"/>
          <w:rtl/>
        </w:rPr>
        <w:t xml:space="preserve">ערעור על פסק דינו של ביהמ"ש לענייני משפחה בחיפה (כב' השופטת הבכירה  ברגר) מיום 15.5.24  שקיבל את תביעת המשיבה לפי חוק אמנת האג (החזרת ילדים חטופים), תשנ"א – 1991 והורה על השבת הקטינה, בתם המשותפת של הצדדים, לגרמניה.  </w:t>
      </w:r>
    </w:p>
    <w:p w:rsidR="00475BC2" w:rsidRDefault="00475BC2" w:rsidP="00475BC2">
      <w:pPr>
        <w:spacing w:line="360" w:lineRule="auto"/>
        <w:jc w:val="both"/>
        <w:rPr>
          <w:rFonts w:ascii="Arial" w:hAnsi="Arial"/>
          <w:rtl/>
        </w:rPr>
      </w:pPr>
    </w:p>
    <w:p w:rsidR="00475BC2" w:rsidRDefault="00475BC2" w:rsidP="00475BC2">
      <w:pPr>
        <w:spacing w:line="360" w:lineRule="auto"/>
        <w:jc w:val="both"/>
        <w:rPr>
          <w:rFonts w:ascii="Arial" w:hAnsi="Arial"/>
          <w:rtl/>
        </w:rPr>
      </w:pPr>
      <w:r>
        <w:rPr>
          <w:rFonts w:ascii="Arial" w:hAnsi="Arial"/>
          <w:b/>
          <w:bCs/>
          <w:rtl/>
        </w:rPr>
        <w:t xml:space="preserve">רקע עובדתי – </w:t>
      </w:r>
    </w:p>
    <w:p w:rsidR="00475BC2" w:rsidRDefault="00082F61" w:rsidP="00082F61">
      <w:pPr>
        <w:spacing w:line="360" w:lineRule="auto"/>
        <w:ind w:left="720" w:hanging="720"/>
        <w:jc w:val="both"/>
        <w:rPr>
          <w:rFonts w:ascii="David" w:eastAsiaTheme="minorHAnsi" w:hAnsi="David"/>
          <w:rtl/>
        </w:rPr>
      </w:pPr>
      <w:r>
        <w:rPr>
          <w:rFonts w:ascii="David" w:hAnsi="David"/>
          <w:rtl/>
        </w:rPr>
        <w:t>1.</w:t>
      </w:r>
      <w:r>
        <w:rPr>
          <w:rFonts w:ascii="David" w:hAnsi="David"/>
          <w:rtl/>
        </w:rPr>
        <w:tab/>
        <w:t>המשיבה,</w:t>
      </w:r>
      <w:r>
        <w:rPr>
          <w:rFonts w:ascii="David" w:hAnsi="David" w:hint="cs"/>
          <w:rtl/>
        </w:rPr>
        <w:t xml:space="preserve"> --------------</w:t>
      </w:r>
      <w:r w:rsidR="00475BC2">
        <w:rPr>
          <w:rFonts w:ascii="David" w:hAnsi="David"/>
          <w:rtl/>
        </w:rPr>
        <w:t>, והמערער,</w:t>
      </w:r>
      <w:r>
        <w:rPr>
          <w:rFonts w:ascii="David" w:hAnsi="David" w:hint="cs"/>
          <w:rtl/>
        </w:rPr>
        <w:t xml:space="preserve"> ---------</w:t>
      </w:r>
      <w:r w:rsidR="00475BC2">
        <w:rPr>
          <w:rFonts w:ascii="David" w:hAnsi="David"/>
          <w:rtl/>
        </w:rPr>
        <w:t>, נישאו ביום</w:t>
      </w:r>
      <w:r>
        <w:rPr>
          <w:rFonts w:ascii="David" w:hAnsi="David" w:hint="cs"/>
          <w:rtl/>
        </w:rPr>
        <w:t xml:space="preserve"> 2021--.--</w:t>
      </w:r>
      <w:r w:rsidR="00475BC2">
        <w:rPr>
          <w:rFonts w:ascii="David" w:hAnsi="David"/>
          <w:rtl/>
        </w:rPr>
        <w:t xml:space="preserve">  בנישואין אזרחיים בגרמניה. במסגרת הנישואין, נולדה לצדדים בת ילידת</w:t>
      </w:r>
      <w:r>
        <w:rPr>
          <w:rFonts w:ascii="David" w:hAnsi="David" w:hint="cs"/>
          <w:rtl/>
        </w:rPr>
        <w:t xml:space="preserve">  2022.--.--</w:t>
      </w:r>
      <w:r w:rsidR="00475BC2">
        <w:rPr>
          <w:rFonts w:ascii="David" w:hAnsi="David"/>
          <w:rtl/>
        </w:rPr>
        <w:t>. הקטינה נולדה בגרמניה, והיא בעלת אזרחות גרמנית וישראלית.</w:t>
      </w:r>
    </w:p>
    <w:p w:rsidR="00475BC2" w:rsidRDefault="00475BC2" w:rsidP="00475BC2">
      <w:pPr>
        <w:spacing w:line="360" w:lineRule="auto"/>
        <w:ind w:left="720" w:hanging="720"/>
        <w:jc w:val="both"/>
        <w:rPr>
          <w:rFonts w:ascii="David" w:eastAsiaTheme="minorHAnsi" w:hAnsi="David"/>
          <w:rtl/>
        </w:rPr>
      </w:pPr>
    </w:p>
    <w:p w:rsidR="00475BC2" w:rsidRDefault="00475BC2" w:rsidP="00475BC2">
      <w:pPr>
        <w:spacing w:line="360" w:lineRule="auto"/>
        <w:ind w:left="720" w:hanging="720"/>
        <w:jc w:val="both"/>
        <w:rPr>
          <w:rFonts w:ascii="David" w:hAnsi="David"/>
          <w:rtl/>
        </w:rPr>
      </w:pPr>
      <w:r>
        <w:rPr>
          <w:rFonts w:ascii="David" w:hAnsi="David"/>
          <w:rtl/>
        </w:rPr>
        <w:t>2.</w:t>
      </w:r>
      <w:r>
        <w:rPr>
          <w:rFonts w:ascii="David" w:hAnsi="David"/>
          <w:rtl/>
        </w:rPr>
        <w:tab/>
        <w:t xml:space="preserve">האם הגישה תביעתה להשבת הקטינה לגרמניה ביום 17.12.23. </w:t>
      </w:r>
    </w:p>
    <w:p w:rsidR="00475BC2" w:rsidRDefault="00475BC2" w:rsidP="00475BC2">
      <w:pPr>
        <w:spacing w:line="360" w:lineRule="auto"/>
        <w:ind w:left="720" w:hanging="720"/>
        <w:jc w:val="both"/>
        <w:rPr>
          <w:rFonts w:ascii="David" w:hAnsi="David"/>
          <w:rtl/>
        </w:rPr>
      </w:pPr>
    </w:p>
    <w:p w:rsidR="00475BC2" w:rsidRDefault="00475BC2" w:rsidP="00475BC2">
      <w:pPr>
        <w:spacing w:line="360" w:lineRule="auto"/>
        <w:ind w:left="720" w:hanging="720"/>
        <w:jc w:val="both"/>
        <w:rPr>
          <w:rFonts w:ascii="David" w:hAnsi="David"/>
          <w:b/>
          <w:bCs/>
          <w:rtl/>
        </w:rPr>
      </w:pPr>
      <w:r>
        <w:rPr>
          <w:rFonts w:ascii="David" w:hAnsi="David"/>
          <w:b/>
          <w:bCs/>
          <w:rtl/>
        </w:rPr>
        <w:t xml:space="preserve">הכרעת ביהמ"ש קמא – </w:t>
      </w:r>
    </w:p>
    <w:p w:rsidR="002126FC" w:rsidRDefault="002126FC" w:rsidP="00475BC2">
      <w:pPr>
        <w:spacing w:line="360" w:lineRule="auto"/>
        <w:ind w:left="720" w:hanging="720"/>
        <w:jc w:val="both"/>
        <w:rPr>
          <w:rFonts w:ascii="David" w:hAnsi="David"/>
          <w:b/>
          <w:bCs/>
          <w:rtl/>
        </w:rPr>
      </w:pPr>
    </w:p>
    <w:p w:rsidR="00475BC2" w:rsidRDefault="00475BC2" w:rsidP="00475BC2">
      <w:pPr>
        <w:spacing w:line="360" w:lineRule="auto"/>
        <w:ind w:left="720" w:hanging="720"/>
        <w:jc w:val="both"/>
        <w:rPr>
          <w:rFonts w:ascii="David" w:hAnsi="David"/>
          <w:rtl/>
        </w:rPr>
      </w:pPr>
      <w:r>
        <w:rPr>
          <w:rFonts w:ascii="David" w:hAnsi="David"/>
          <w:rtl/>
        </w:rPr>
        <w:t>3.</w:t>
      </w:r>
      <w:r>
        <w:rPr>
          <w:rFonts w:ascii="David" w:hAnsi="David"/>
          <w:rtl/>
        </w:rPr>
        <w:tab/>
        <w:t xml:space="preserve">על פי הפסיקה, על בית המשפט לבחון את התביעה בשני שלבים: </w:t>
      </w:r>
    </w:p>
    <w:p w:rsidR="00475BC2" w:rsidRDefault="00475BC2" w:rsidP="00475BC2">
      <w:pPr>
        <w:spacing w:line="360" w:lineRule="auto"/>
        <w:ind w:left="720" w:hanging="720"/>
        <w:jc w:val="both"/>
        <w:rPr>
          <w:rFonts w:ascii="David" w:hAnsi="David"/>
          <w:rtl/>
        </w:rPr>
      </w:pPr>
    </w:p>
    <w:p w:rsidR="00475BC2" w:rsidRDefault="00475BC2" w:rsidP="00475BC2">
      <w:pPr>
        <w:spacing w:line="360" w:lineRule="auto"/>
        <w:ind w:left="720"/>
        <w:rPr>
          <w:rFonts w:ascii="David" w:hAnsi="David"/>
          <w:rtl/>
        </w:rPr>
      </w:pPr>
      <w:r>
        <w:rPr>
          <w:rFonts w:ascii="David" w:hAnsi="David"/>
          <w:rtl/>
        </w:rPr>
        <w:t>-</w:t>
      </w:r>
      <w:r>
        <w:rPr>
          <w:rFonts w:ascii="David" w:hAnsi="David"/>
          <w:rtl/>
        </w:rPr>
        <w:tab/>
        <w:t>בשלב הראשון יש לבחון את תחולת האמנה בענייננו.</w:t>
      </w:r>
    </w:p>
    <w:p w:rsidR="002126FC" w:rsidRDefault="002126FC" w:rsidP="00475BC2">
      <w:pPr>
        <w:spacing w:line="360" w:lineRule="auto"/>
        <w:ind w:left="720"/>
        <w:rPr>
          <w:rFonts w:ascii="David" w:hAnsi="David"/>
          <w:rtl/>
        </w:rPr>
      </w:pPr>
    </w:p>
    <w:p w:rsidR="00475BC2" w:rsidRDefault="00475BC2" w:rsidP="00475BC2">
      <w:pPr>
        <w:spacing w:line="360" w:lineRule="auto"/>
        <w:ind w:left="1440" w:hanging="720"/>
        <w:jc w:val="both"/>
        <w:rPr>
          <w:rFonts w:ascii="David" w:hAnsi="David"/>
          <w:rtl/>
        </w:rPr>
      </w:pPr>
      <w:r>
        <w:rPr>
          <w:rFonts w:ascii="David" w:hAnsi="David"/>
          <w:rtl/>
        </w:rPr>
        <w:t>-</w:t>
      </w:r>
      <w:r>
        <w:rPr>
          <w:rFonts w:ascii="David" w:hAnsi="David"/>
          <w:rtl/>
        </w:rPr>
        <w:tab/>
        <w:t>בשלב השני, ככל שהאמנה אכן חלה, יש לבחון את טענות המערער בדבר קיומו של החריג הנטען על פי סעיף 13 (ב) לאמנה.</w:t>
      </w:r>
    </w:p>
    <w:p w:rsidR="00475BC2" w:rsidRDefault="00475BC2" w:rsidP="00475BC2">
      <w:pPr>
        <w:spacing w:line="360" w:lineRule="auto"/>
        <w:ind w:left="1440" w:hanging="720"/>
        <w:jc w:val="both"/>
        <w:rPr>
          <w:rFonts w:ascii="David" w:hAnsi="David"/>
          <w:rtl/>
        </w:rPr>
      </w:pPr>
    </w:p>
    <w:p w:rsidR="00475BC2" w:rsidRDefault="00475BC2" w:rsidP="00475BC2">
      <w:pPr>
        <w:spacing w:line="360" w:lineRule="auto"/>
        <w:ind w:left="720" w:hanging="720"/>
        <w:rPr>
          <w:rFonts w:ascii="David" w:hAnsi="David"/>
          <w:b/>
          <w:bCs/>
          <w:rtl/>
        </w:rPr>
      </w:pPr>
      <w:r>
        <w:rPr>
          <w:rFonts w:ascii="David" w:hAnsi="David"/>
          <w:b/>
          <w:bCs/>
          <w:rtl/>
        </w:rPr>
        <w:lastRenderedPageBreak/>
        <w:t>השלב הראשון- האם אי החזרת הקטינה מישראל לגרמניה היא בגדר חטיפה לפי האמנה?</w:t>
      </w:r>
    </w:p>
    <w:p w:rsidR="00543EFF" w:rsidRDefault="00543EFF" w:rsidP="00475BC2">
      <w:pPr>
        <w:spacing w:line="360" w:lineRule="auto"/>
        <w:ind w:left="720" w:hanging="720"/>
        <w:rPr>
          <w:rFonts w:ascii="David" w:hAnsi="David"/>
          <w:b/>
          <w:bCs/>
          <w:rtl/>
        </w:rPr>
      </w:pPr>
    </w:p>
    <w:p w:rsidR="00475BC2" w:rsidRDefault="00475BC2" w:rsidP="00475BC2">
      <w:pPr>
        <w:spacing w:line="360" w:lineRule="auto"/>
        <w:ind w:left="720" w:hanging="720"/>
        <w:jc w:val="both"/>
        <w:rPr>
          <w:rFonts w:ascii="David" w:hAnsi="David"/>
          <w:rtl/>
        </w:rPr>
      </w:pPr>
      <w:r>
        <w:rPr>
          <w:rFonts w:ascii="David" w:hAnsi="David"/>
          <w:rtl/>
        </w:rPr>
        <w:t>4.</w:t>
      </w:r>
      <w:r>
        <w:rPr>
          <w:rFonts w:ascii="David" w:hAnsi="David"/>
          <w:rtl/>
        </w:rPr>
        <w:tab/>
        <w:t>נקבע כי שלושת התנאים המקדמיים לתחולת האמנה מתקיימים בענייננו, כפי שיבואר להלן.</w:t>
      </w:r>
    </w:p>
    <w:p w:rsidR="00475BC2" w:rsidRDefault="00475BC2" w:rsidP="00475BC2">
      <w:pPr>
        <w:spacing w:line="360" w:lineRule="auto"/>
        <w:ind w:left="720" w:hanging="720"/>
        <w:jc w:val="both"/>
        <w:rPr>
          <w:rFonts w:ascii="David" w:hAnsi="David"/>
          <w:rtl/>
        </w:rPr>
      </w:pPr>
    </w:p>
    <w:p w:rsidR="00475BC2" w:rsidRDefault="00475BC2" w:rsidP="00475BC2">
      <w:pPr>
        <w:spacing w:line="360" w:lineRule="auto"/>
        <w:ind w:left="720" w:hanging="720"/>
        <w:jc w:val="both"/>
        <w:rPr>
          <w:rFonts w:ascii="David" w:hAnsi="David"/>
          <w:rtl/>
        </w:rPr>
      </w:pPr>
      <w:r>
        <w:rPr>
          <w:rFonts w:ascii="David" w:hAnsi="David"/>
          <w:rtl/>
        </w:rPr>
        <w:t>5.</w:t>
      </w:r>
      <w:r>
        <w:rPr>
          <w:rFonts w:ascii="David" w:hAnsi="David"/>
          <w:rtl/>
        </w:rPr>
        <w:tab/>
        <w:t>התנאי המקדמי הראשון לתחולת האמנה: המדינה אליה לא הוחזרה הקטינה הייתה מקום המגורים הרגיל של הקטינה סמוך לפני אי ההחזרה.</w:t>
      </w:r>
    </w:p>
    <w:p w:rsidR="00475BC2" w:rsidRDefault="00475BC2" w:rsidP="00475BC2">
      <w:pPr>
        <w:spacing w:line="360" w:lineRule="auto"/>
        <w:ind w:left="720" w:hanging="720"/>
        <w:rPr>
          <w:rFonts w:ascii="David" w:hAnsi="David"/>
          <w:rtl/>
        </w:rPr>
      </w:pPr>
    </w:p>
    <w:p w:rsidR="00475BC2" w:rsidRDefault="00475BC2" w:rsidP="00475BC2">
      <w:pPr>
        <w:spacing w:line="360" w:lineRule="auto"/>
        <w:ind w:left="720" w:hanging="720"/>
        <w:rPr>
          <w:rFonts w:ascii="David" w:hAnsi="David"/>
          <w:b/>
          <w:bCs/>
          <w:rtl/>
        </w:rPr>
      </w:pPr>
      <w:r>
        <w:rPr>
          <w:rFonts w:ascii="David" w:hAnsi="David"/>
          <w:b/>
          <w:bCs/>
          <w:rtl/>
        </w:rPr>
        <w:t>מקום המגורים הרגיל של הקטינה סמוך לפני אי ההחזרה:</w:t>
      </w:r>
    </w:p>
    <w:p w:rsidR="00475BC2" w:rsidRDefault="00475BC2" w:rsidP="00475BC2">
      <w:pPr>
        <w:spacing w:line="360" w:lineRule="auto"/>
        <w:ind w:left="720" w:hanging="720"/>
        <w:rPr>
          <w:rFonts w:ascii="David" w:hAnsi="David"/>
          <w:b/>
          <w:bCs/>
          <w:rtl/>
        </w:rPr>
      </w:pPr>
    </w:p>
    <w:p w:rsidR="00475BC2" w:rsidRDefault="00475BC2" w:rsidP="00475BC2">
      <w:pPr>
        <w:spacing w:line="360" w:lineRule="auto"/>
        <w:ind w:left="720" w:hanging="720"/>
        <w:jc w:val="both"/>
        <w:rPr>
          <w:rFonts w:ascii="David" w:hAnsi="David"/>
          <w:rtl/>
        </w:rPr>
      </w:pPr>
      <w:r>
        <w:rPr>
          <w:rFonts w:ascii="David" w:hAnsi="David"/>
          <w:rtl/>
        </w:rPr>
        <w:t>6.</w:t>
      </w:r>
      <w:r>
        <w:rPr>
          <w:rFonts w:ascii="David" w:hAnsi="David"/>
          <w:rtl/>
        </w:rPr>
        <w:tab/>
        <w:t>הצדדים חלוקים ביניהם בעניין זה, כאשר לטענת האב מקום המגורים הרגיל של הקטינה הינו בישראל, ואילו לטענת האם מקום המגורים הרגיל הינו בגרמניה.</w:t>
      </w:r>
    </w:p>
    <w:p w:rsidR="00475BC2" w:rsidRDefault="00475BC2" w:rsidP="00475BC2">
      <w:pPr>
        <w:spacing w:line="360" w:lineRule="auto"/>
        <w:ind w:left="720" w:hanging="720"/>
        <w:jc w:val="both"/>
        <w:rPr>
          <w:rFonts w:ascii="David" w:hAnsi="David"/>
          <w:rtl/>
        </w:rPr>
      </w:pPr>
    </w:p>
    <w:p w:rsidR="00475BC2" w:rsidRDefault="00475BC2" w:rsidP="00475BC2">
      <w:pPr>
        <w:spacing w:line="360" w:lineRule="auto"/>
        <w:ind w:left="720" w:hanging="720"/>
        <w:jc w:val="both"/>
        <w:rPr>
          <w:rFonts w:ascii="David" w:hAnsi="David"/>
          <w:rtl/>
        </w:rPr>
      </w:pPr>
      <w:r>
        <w:rPr>
          <w:rFonts w:ascii="David" w:hAnsi="David"/>
          <w:rtl/>
        </w:rPr>
        <w:t>7.</w:t>
      </w:r>
      <w:r>
        <w:rPr>
          <w:rFonts w:ascii="David" w:hAnsi="David"/>
          <w:rtl/>
        </w:rPr>
        <w:tab/>
        <w:t xml:space="preserve">לאחר שנבחנו טענות הצדדים והראיות, שוכנע ביהמ"ש קמא כי על פי המבחן העובדתי-הפיזי הטהור, תוך הבאה בחשבון של כוונת ההורים כעובדה נוספת בין יתר המרכיבים העובדתיים, מקום המגורים הרגיל של הקטינה היה בברלין גרמניה. </w:t>
      </w:r>
    </w:p>
    <w:p w:rsidR="00475BC2" w:rsidRDefault="00475BC2" w:rsidP="00475BC2">
      <w:pPr>
        <w:spacing w:line="360" w:lineRule="auto"/>
        <w:ind w:left="720" w:hanging="720"/>
        <w:jc w:val="both"/>
        <w:rPr>
          <w:rFonts w:ascii="David" w:hAnsi="David"/>
          <w:rtl/>
        </w:rPr>
      </w:pPr>
    </w:p>
    <w:p w:rsidR="00475BC2" w:rsidRDefault="00475BC2" w:rsidP="00475BC2">
      <w:pPr>
        <w:spacing w:line="360" w:lineRule="auto"/>
        <w:ind w:left="720" w:hanging="720"/>
        <w:jc w:val="both"/>
        <w:rPr>
          <w:rFonts w:ascii="David" w:hAnsi="David"/>
          <w:rtl/>
        </w:rPr>
      </w:pPr>
      <w:r>
        <w:rPr>
          <w:rFonts w:ascii="David" w:hAnsi="David"/>
          <w:rtl/>
        </w:rPr>
        <w:t>8.</w:t>
      </w:r>
      <w:r>
        <w:rPr>
          <w:rFonts w:ascii="David" w:hAnsi="David"/>
          <w:rtl/>
        </w:rPr>
        <w:tab/>
        <w:t xml:space="preserve">המארג העובדתי של המקרה דנן כפי שעלה מהעדויות והמסמכים שהוצגו במהלך ההליך הינו כדלקמן: ביהמ"ש קמא שוכנע כי הלכה למעשה המערער הציג בפני המשיבה (ומשפחת המוצא שלה) מצג לפיו מקום המגורים של המשפחה הינו בגרמניה. כך, בחודש 3/23 נחתם חוזה שכירות לדירה בגרמניה, וכן נרשמה הקטינה לפעוטון בגרמניה. בעת ביקור בישראל בחודש 6/23, החליט המערער באופן חד צדדי (ככל הנראה בעקבות לחץ מצד משפחתו) כי המשפחה תתגורר בישראל, והמשיבה והקטינה לא תחזורנה לגרמניה. על כן, סירב המערער להעביר למשיבה את הדרכונים שלה ושל הקטינה, במטרה להותירן בישראל, בניגוד לרצון המשיבה, ובניגוד למצג שהציג בפניה עד לאותו מועד. לבסוף, הסכים לתת למשיבה את הדרכון שלה בלבד, והיא חזרה לגרמניה, אולם הקטינה נותרה בישראל. מיד עם הגעתה לגרמניה, החלה המשיבה בהליכים משפטיים לצורך החזרת הקטינה לגרמניה. יצוין כי המשיבה ילדה את בנם השני של הצדדים לאחר שובה לגרמניה. </w:t>
      </w:r>
    </w:p>
    <w:p w:rsidR="00475BC2" w:rsidRPr="00AA7442" w:rsidRDefault="00475BC2" w:rsidP="00475BC2">
      <w:pPr>
        <w:spacing w:line="360" w:lineRule="auto"/>
        <w:ind w:left="720" w:hanging="720"/>
        <w:jc w:val="both"/>
        <w:rPr>
          <w:rFonts w:ascii="David" w:hAnsi="David"/>
          <w:sz w:val="12"/>
          <w:szCs w:val="12"/>
          <w:rtl/>
        </w:rPr>
      </w:pPr>
    </w:p>
    <w:p w:rsidR="00475BC2" w:rsidRDefault="00475BC2" w:rsidP="00082F61">
      <w:pPr>
        <w:spacing w:line="360" w:lineRule="auto"/>
        <w:ind w:left="720" w:hanging="720"/>
        <w:jc w:val="both"/>
        <w:rPr>
          <w:rFonts w:ascii="David" w:hAnsi="David"/>
          <w:rtl/>
        </w:rPr>
      </w:pPr>
      <w:r>
        <w:rPr>
          <w:rFonts w:ascii="David" w:hAnsi="David"/>
          <w:rtl/>
        </w:rPr>
        <w:t>9.</w:t>
      </w:r>
      <w:r>
        <w:rPr>
          <w:rFonts w:ascii="David" w:hAnsi="David"/>
          <w:rtl/>
        </w:rPr>
        <w:tab/>
        <w:t>הצדדים התארסו בברלין ביום 21.</w:t>
      </w:r>
      <w:r w:rsidR="00082F61">
        <w:rPr>
          <w:rFonts w:ascii="David" w:hAnsi="David" w:hint="cs"/>
          <w:rtl/>
        </w:rPr>
        <w:t>--</w:t>
      </w:r>
      <w:r>
        <w:rPr>
          <w:rFonts w:ascii="David" w:hAnsi="David"/>
          <w:rtl/>
        </w:rPr>
        <w:t>.</w:t>
      </w:r>
      <w:r w:rsidR="00082F61">
        <w:rPr>
          <w:rFonts w:ascii="David" w:hAnsi="David" w:hint="cs"/>
          <w:rtl/>
        </w:rPr>
        <w:t>--</w:t>
      </w:r>
      <w:r>
        <w:rPr>
          <w:rFonts w:ascii="David" w:hAnsi="David"/>
          <w:rtl/>
        </w:rPr>
        <w:t xml:space="preserve"> ונישאו בברלין ביום 18.</w:t>
      </w:r>
      <w:r w:rsidR="00082F61">
        <w:rPr>
          <w:rFonts w:ascii="David" w:hAnsi="David" w:hint="cs"/>
          <w:rtl/>
        </w:rPr>
        <w:t>--</w:t>
      </w:r>
      <w:r>
        <w:rPr>
          <w:rFonts w:ascii="David" w:hAnsi="David"/>
          <w:rtl/>
        </w:rPr>
        <w:t>.</w:t>
      </w:r>
      <w:r w:rsidR="00082F61">
        <w:rPr>
          <w:rFonts w:ascii="David" w:hAnsi="David" w:hint="cs"/>
          <w:rtl/>
        </w:rPr>
        <w:t>--</w:t>
      </w:r>
      <w:r>
        <w:rPr>
          <w:rFonts w:ascii="David" w:hAnsi="David"/>
          <w:rtl/>
        </w:rPr>
        <w:t xml:space="preserve"> בטקס דתי. ביום</w:t>
      </w:r>
      <w:r w:rsidR="00082F61">
        <w:rPr>
          <w:rFonts w:ascii="David" w:hAnsi="David" w:hint="cs"/>
          <w:rtl/>
        </w:rPr>
        <w:t xml:space="preserve">     </w:t>
      </w:r>
      <w:r>
        <w:rPr>
          <w:rFonts w:ascii="David" w:hAnsi="David"/>
          <w:rtl/>
        </w:rPr>
        <w:t xml:space="preserve"> </w:t>
      </w:r>
      <w:r w:rsidR="00082F61">
        <w:rPr>
          <w:rFonts w:ascii="David" w:hAnsi="David" w:hint="cs"/>
          <w:rtl/>
        </w:rPr>
        <w:t>21</w:t>
      </w:r>
      <w:r>
        <w:rPr>
          <w:rFonts w:ascii="David" w:hAnsi="David"/>
          <w:rtl/>
        </w:rPr>
        <w:t>.</w:t>
      </w:r>
      <w:r w:rsidR="00082F61">
        <w:rPr>
          <w:rFonts w:ascii="David" w:hAnsi="David" w:hint="cs"/>
          <w:rtl/>
        </w:rPr>
        <w:t>--</w:t>
      </w:r>
      <w:r>
        <w:rPr>
          <w:rFonts w:ascii="David" w:hAnsi="David"/>
          <w:rtl/>
        </w:rPr>
        <w:t>.</w:t>
      </w:r>
      <w:r w:rsidR="00082F61">
        <w:rPr>
          <w:rFonts w:ascii="David" w:hAnsi="David" w:hint="cs"/>
          <w:rtl/>
        </w:rPr>
        <w:t>--</w:t>
      </w:r>
      <w:r>
        <w:rPr>
          <w:rFonts w:ascii="David" w:hAnsi="David"/>
          <w:rtl/>
        </w:rPr>
        <w:t xml:space="preserve"> נערכה מסיבת חתונה בישראל. הצדדים נישאו ביום 17.</w:t>
      </w:r>
      <w:r w:rsidR="00082F61">
        <w:rPr>
          <w:rFonts w:ascii="David" w:hAnsi="David" w:hint="cs"/>
          <w:rtl/>
        </w:rPr>
        <w:t>--</w:t>
      </w:r>
      <w:r>
        <w:rPr>
          <w:rFonts w:ascii="David" w:hAnsi="David"/>
          <w:rtl/>
        </w:rPr>
        <w:t>.</w:t>
      </w:r>
      <w:r w:rsidR="00082F61">
        <w:rPr>
          <w:rFonts w:ascii="David" w:hAnsi="David" w:hint="cs"/>
          <w:rtl/>
        </w:rPr>
        <w:t>--</w:t>
      </w:r>
      <w:r>
        <w:rPr>
          <w:rFonts w:ascii="David" w:hAnsi="David"/>
          <w:rtl/>
        </w:rPr>
        <w:t xml:space="preserve"> בנישואין אזרחיים בגרמניה. ניתן לראות כי מרבית הטקסים החשובים בחיי הצדדים התקיימו בגרמניה. </w:t>
      </w:r>
    </w:p>
    <w:p w:rsidR="002126FC" w:rsidRDefault="002126FC" w:rsidP="00475BC2">
      <w:pPr>
        <w:spacing w:line="360" w:lineRule="auto"/>
        <w:ind w:left="720" w:hanging="720"/>
        <w:jc w:val="both"/>
        <w:rPr>
          <w:rFonts w:ascii="David" w:hAnsi="David"/>
          <w:rtl/>
        </w:rPr>
      </w:pPr>
    </w:p>
    <w:p w:rsidR="00475BC2" w:rsidRDefault="00475BC2" w:rsidP="00082F61">
      <w:pPr>
        <w:spacing w:line="360" w:lineRule="auto"/>
        <w:ind w:left="720" w:hanging="720"/>
        <w:jc w:val="both"/>
        <w:rPr>
          <w:rFonts w:ascii="David" w:hAnsi="David"/>
          <w:rtl/>
        </w:rPr>
      </w:pPr>
      <w:r>
        <w:rPr>
          <w:rFonts w:ascii="David" w:hAnsi="David"/>
          <w:rtl/>
        </w:rPr>
        <w:t>10.</w:t>
      </w:r>
      <w:r>
        <w:rPr>
          <w:rFonts w:ascii="David" w:hAnsi="David"/>
          <w:rtl/>
        </w:rPr>
        <w:tab/>
        <w:t xml:space="preserve">הקטינה נולדה בגרמניה ביום </w:t>
      </w:r>
      <w:r w:rsidR="00082F61">
        <w:rPr>
          <w:rFonts w:ascii="David" w:hAnsi="David" w:hint="cs"/>
          <w:rtl/>
        </w:rPr>
        <w:t>22.--</w:t>
      </w:r>
      <w:r>
        <w:rPr>
          <w:rFonts w:ascii="David" w:hAnsi="David"/>
          <w:rtl/>
        </w:rPr>
        <w:t>.</w:t>
      </w:r>
      <w:r w:rsidR="00082F61">
        <w:rPr>
          <w:rFonts w:ascii="David" w:hAnsi="David" w:hint="cs"/>
          <w:rtl/>
        </w:rPr>
        <w:t>--</w:t>
      </w:r>
      <w:r>
        <w:rPr>
          <w:rFonts w:ascii="David" w:hAnsi="David"/>
          <w:rtl/>
        </w:rPr>
        <w:t xml:space="preserve">. ביום </w:t>
      </w:r>
      <w:r w:rsidR="00082F61">
        <w:rPr>
          <w:rFonts w:ascii="David" w:hAnsi="David" w:hint="cs"/>
          <w:rtl/>
        </w:rPr>
        <w:t>22. --</w:t>
      </w:r>
      <w:r>
        <w:rPr>
          <w:rFonts w:ascii="David" w:hAnsi="David"/>
          <w:rtl/>
        </w:rPr>
        <w:t>.</w:t>
      </w:r>
      <w:r w:rsidR="00082F61">
        <w:rPr>
          <w:rFonts w:ascii="David" w:hAnsi="David" w:hint="cs"/>
          <w:rtl/>
        </w:rPr>
        <w:t>--</w:t>
      </w:r>
      <w:r>
        <w:rPr>
          <w:rFonts w:ascii="David" w:hAnsi="David"/>
          <w:rtl/>
        </w:rPr>
        <w:t xml:space="preserve"> הוצא דרכון לקטינה בגרמניה לפיו מקום המגורים של הקטינה הינו ברלין. </w:t>
      </w:r>
    </w:p>
    <w:p w:rsidR="00475BC2" w:rsidRDefault="00475BC2" w:rsidP="00475BC2">
      <w:pPr>
        <w:spacing w:line="360" w:lineRule="auto"/>
        <w:ind w:left="720" w:hanging="720"/>
        <w:jc w:val="both"/>
        <w:rPr>
          <w:rFonts w:ascii="David" w:hAnsi="David"/>
          <w:rtl/>
        </w:rPr>
      </w:pPr>
    </w:p>
    <w:p w:rsidR="00475BC2" w:rsidRDefault="00475BC2" w:rsidP="00475BC2">
      <w:pPr>
        <w:spacing w:line="360" w:lineRule="auto"/>
        <w:ind w:left="720" w:hanging="720"/>
        <w:jc w:val="both"/>
        <w:rPr>
          <w:rFonts w:ascii="David" w:hAnsi="David"/>
          <w:rtl/>
        </w:rPr>
      </w:pPr>
      <w:r>
        <w:rPr>
          <w:rFonts w:ascii="David" w:hAnsi="David"/>
          <w:rtl/>
        </w:rPr>
        <w:lastRenderedPageBreak/>
        <w:t>11.</w:t>
      </w:r>
      <w:r>
        <w:rPr>
          <w:rFonts w:ascii="David" w:hAnsi="David"/>
          <w:rtl/>
        </w:rPr>
        <w:tab/>
        <w:t xml:space="preserve">הלכה למעשה, המערער הציג בפני המשיבה (ומשפחת המוצא שלה) מצג לפיו מקום המגורים של המשפחה הינו בגרמניה. המערער הצהיר בפני המשיבה כי יש לו התחייבויות בישראל ולאחר שיסיים אותן הוא יגיע להשתקע בגרמניה, יחד איתה ובתם הקטינה. המשיבה והקטינה התגוררו בגרמניה, כאשר הן הגיעו לבקר את המערער ומשפחתו בישראל. בכל העת המשיבה  הבהירה למערער כי מקום המגורים של המשפחה הינו גרמניה ואין לה כל רצון להתגורר בישראל. ביהמ"ש קמא התרשם מאמינות המשיבה לאורך עדותה. </w:t>
      </w:r>
    </w:p>
    <w:p w:rsidR="00475BC2" w:rsidRDefault="00475BC2" w:rsidP="00475BC2">
      <w:pPr>
        <w:spacing w:line="360" w:lineRule="auto"/>
        <w:ind w:left="720" w:hanging="720"/>
        <w:jc w:val="both"/>
        <w:rPr>
          <w:rFonts w:ascii="David" w:hAnsi="David"/>
          <w:rtl/>
        </w:rPr>
      </w:pPr>
    </w:p>
    <w:p w:rsidR="00475BC2" w:rsidRDefault="00475BC2" w:rsidP="00082F61">
      <w:pPr>
        <w:spacing w:line="360" w:lineRule="auto"/>
        <w:ind w:left="720" w:hanging="720"/>
        <w:jc w:val="both"/>
        <w:rPr>
          <w:rFonts w:ascii="David" w:hAnsi="David"/>
          <w:rtl/>
        </w:rPr>
      </w:pPr>
      <w:r>
        <w:rPr>
          <w:rFonts w:ascii="David" w:hAnsi="David"/>
          <w:rtl/>
        </w:rPr>
        <w:t>12.</w:t>
      </w:r>
      <w:r>
        <w:rPr>
          <w:rFonts w:ascii="David" w:hAnsi="David"/>
          <w:rtl/>
        </w:rPr>
        <w:tab/>
        <w:t xml:space="preserve">חיזוק לגרסתה של המשיבה הייתה עדותה של הגב' </w:t>
      </w:r>
      <w:r w:rsidR="00082F61">
        <w:rPr>
          <w:rFonts w:ascii="David" w:hAnsi="David" w:hint="cs"/>
          <w:rtl/>
        </w:rPr>
        <w:t>-----</w:t>
      </w:r>
      <w:r w:rsidR="005779ED">
        <w:rPr>
          <w:rFonts w:ascii="David" w:hAnsi="David" w:hint="cs"/>
          <w:rtl/>
        </w:rPr>
        <w:t>----</w:t>
      </w:r>
      <w:r>
        <w:rPr>
          <w:rFonts w:ascii="David" w:hAnsi="David"/>
          <w:rtl/>
        </w:rPr>
        <w:t xml:space="preserve"> (שכנה וחברה של המשיבה מברלין). </w:t>
      </w:r>
    </w:p>
    <w:p w:rsidR="00475BC2" w:rsidRDefault="00475BC2" w:rsidP="00475BC2">
      <w:pPr>
        <w:spacing w:line="360" w:lineRule="auto"/>
        <w:ind w:left="720" w:hanging="720"/>
        <w:jc w:val="both"/>
        <w:rPr>
          <w:rFonts w:ascii="David" w:hAnsi="David"/>
          <w:rtl/>
        </w:rPr>
      </w:pPr>
    </w:p>
    <w:p w:rsidR="00475BC2" w:rsidRDefault="00475BC2" w:rsidP="00475BC2">
      <w:pPr>
        <w:spacing w:line="360" w:lineRule="auto"/>
        <w:ind w:left="720" w:hanging="720"/>
        <w:jc w:val="both"/>
        <w:rPr>
          <w:rFonts w:ascii="David" w:hAnsi="David"/>
          <w:rtl/>
        </w:rPr>
      </w:pPr>
      <w:r>
        <w:rPr>
          <w:rFonts w:ascii="David" w:hAnsi="David"/>
          <w:rtl/>
        </w:rPr>
        <w:t>13.</w:t>
      </w:r>
      <w:r>
        <w:rPr>
          <w:rFonts w:ascii="David" w:hAnsi="David"/>
          <w:rtl/>
        </w:rPr>
        <w:tab/>
        <w:t xml:space="preserve">גרסת המשיבה לענין המצג שהציג המערער בפניה ובפני משפחת המוצא שלה עלתה בקנה אחד עם תעודת בירור פרטים על המערער, ממנה עלה כי משנת 2018 (השנה בה הצדדים התארסו) ועד לשנת 2023 (השנה בה פרץ הסכסוך) יצא המערער מן הארץ 12 פעמים, כל אחת מהפעמים תואמת את גרסת המשיבה לאירועים. </w:t>
      </w:r>
    </w:p>
    <w:p w:rsidR="00475BC2" w:rsidRDefault="00475BC2" w:rsidP="00475BC2">
      <w:pPr>
        <w:spacing w:line="360" w:lineRule="auto"/>
        <w:ind w:left="720" w:hanging="720"/>
        <w:jc w:val="both"/>
        <w:rPr>
          <w:rFonts w:ascii="David" w:hAnsi="David"/>
          <w:rtl/>
        </w:rPr>
      </w:pPr>
    </w:p>
    <w:p w:rsidR="00475BC2" w:rsidRDefault="00475BC2" w:rsidP="00475BC2">
      <w:pPr>
        <w:spacing w:line="360" w:lineRule="auto"/>
        <w:ind w:left="720" w:hanging="720"/>
        <w:jc w:val="both"/>
        <w:rPr>
          <w:rFonts w:ascii="David" w:hAnsi="David"/>
          <w:rtl/>
        </w:rPr>
      </w:pPr>
      <w:r>
        <w:rPr>
          <w:rFonts w:ascii="David" w:hAnsi="David"/>
          <w:rtl/>
        </w:rPr>
        <w:t>14.</w:t>
      </w:r>
      <w:r>
        <w:rPr>
          <w:rFonts w:ascii="David" w:hAnsi="David"/>
          <w:rtl/>
        </w:rPr>
        <w:tab/>
        <w:t>נסיבות הנפקת תעודת זהות ישראלית לקטינה וקבלת ויזה למשיבה - ביום 12.6.22 הגיעו המשיבה והקטינה לביקור בישראל. עם כניסתן, עוכבו במשטרת הגבולות בנתב"ג. בעקבות המקרה, פנה המערער למשרד הפנים לצורך רישום הקטינה כאזרחית ישראל, והמשיבה  קיבלה ויזה מסוג א5. המשיבה והקטינה נותרו בישראל מיום 12.6.22 ועד ליום 16.12.22 (אז חזרו לגרמניה), וזאת לאור דברי המערער למשיבה לפיהם לא ניתן לצאת מישראל עד להנפקת הדרכון של הקטינה במשרד הפנים.</w:t>
      </w:r>
    </w:p>
    <w:p w:rsidR="00475BC2" w:rsidRDefault="00475BC2" w:rsidP="00475BC2">
      <w:pPr>
        <w:spacing w:line="360" w:lineRule="auto"/>
        <w:ind w:left="720" w:hanging="720"/>
        <w:jc w:val="both"/>
        <w:rPr>
          <w:rFonts w:ascii="David" w:hAnsi="David"/>
          <w:rtl/>
        </w:rPr>
      </w:pPr>
    </w:p>
    <w:p w:rsidR="00475BC2" w:rsidRDefault="00475BC2" w:rsidP="00475BC2">
      <w:pPr>
        <w:spacing w:line="360" w:lineRule="auto"/>
        <w:ind w:left="720" w:hanging="720"/>
        <w:jc w:val="both"/>
        <w:rPr>
          <w:rFonts w:ascii="David" w:hAnsi="David"/>
          <w:rtl/>
        </w:rPr>
      </w:pPr>
      <w:r>
        <w:rPr>
          <w:rFonts w:ascii="David" w:hAnsi="David"/>
          <w:rtl/>
        </w:rPr>
        <w:t>15.</w:t>
      </w:r>
      <w:r>
        <w:rPr>
          <w:rFonts w:ascii="David" w:hAnsi="David"/>
          <w:rtl/>
        </w:rPr>
        <w:tab/>
        <w:t xml:space="preserve">סירוב המערער למסור למשיבה את הדרכונים בשנת 2022- לאחר הנפקת הדרכון הישראלי לקטינה בחודש 12/22, תחילה המערער סירב לתת למשיבה את הדרכונים שלה ושל הקטינה, במטרה להותירן בישראל, וזאת בניגוד לרצון התובעת. לבסוף הסכים והיא והקטינה חזרו לגרמניה. </w:t>
      </w:r>
    </w:p>
    <w:p w:rsidR="00EA2AA2" w:rsidRDefault="00EA2AA2" w:rsidP="00475BC2">
      <w:pPr>
        <w:spacing w:line="360" w:lineRule="auto"/>
        <w:ind w:left="720" w:hanging="720"/>
        <w:jc w:val="both"/>
        <w:rPr>
          <w:rFonts w:ascii="David" w:hAnsi="David"/>
          <w:rtl/>
        </w:rPr>
      </w:pPr>
    </w:p>
    <w:p w:rsidR="00475BC2" w:rsidRDefault="00475BC2" w:rsidP="00475BC2">
      <w:pPr>
        <w:spacing w:line="360" w:lineRule="auto"/>
        <w:ind w:left="720" w:hanging="720"/>
        <w:jc w:val="both"/>
        <w:rPr>
          <w:rFonts w:ascii="David" w:hAnsi="David"/>
          <w:rtl/>
        </w:rPr>
      </w:pPr>
      <w:r>
        <w:rPr>
          <w:rFonts w:ascii="David" w:hAnsi="David"/>
          <w:rtl/>
        </w:rPr>
        <w:t>16.</w:t>
      </w:r>
      <w:r>
        <w:rPr>
          <w:rFonts w:ascii="David" w:hAnsi="David"/>
          <w:rtl/>
        </w:rPr>
        <w:tab/>
        <w:t>עדותה של המשיבה בעניין זה הייתה עקבית ואמינה.</w:t>
      </w:r>
    </w:p>
    <w:p w:rsidR="00475BC2" w:rsidRDefault="00475BC2" w:rsidP="00475BC2">
      <w:pPr>
        <w:spacing w:line="360" w:lineRule="auto"/>
        <w:ind w:left="720" w:hanging="720"/>
        <w:jc w:val="both"/>
        <w:rPr>
          <w:rFonts w:ascii="David" w:hAnsi="David"/>
          <w:rtl/>
        </w:rPr>
      </w:pPr>
    </w:p>
    <w:p w:rsidR="00475BC2" w:rsidRDefault="00475BC2" w:rsidP="00475BC2">
      <w:pPr>
        <w:spacing w:line="360" w:lineRule="auto"/>
        <w:ind w:left="720" w:hanging="720"/>
        <w:jc w:val="both"/>
        <w:rPr>
          <w:rFonts w:ascii="David" w:hAnsi="David"/>
          <w:rtl/>
        </w:rPr>
      </w:pPr>
      <w:r>
        <w:rPr>
          <w:rFonts w:ascii="David" w:hAnsi="David"/>
          <w:rtl/>
        </w:rPr>
        <w:t>17.</w:t>
      </w:r>
      <w:r>
        <w:rPr>
          <w:rFonts w:ascii="David" w:hAnsi="David"/>
          <w:rtl/>
        </w:rPr>
        <w:tab/>
        <w:t xml:space="preserve">המערער בחקירתו הנגדית הציג גרסאות סותרות ביחס לסירובו להשיב לידי המשיבה את הדרכונים שלה ושל הקטינה בשנת 2022. כך, כאשר נשאל בדבר לקיחת הדרכונים של האם והקטינה בשנת 2022 השיב בשלילה, ואולם, בהמשך חקירתו, כאשר הוצגו בפניו מסרונים מיום 28.12.22  גרסתו השתנתה והוא אישר כי לקח את הדרכונים. </w:t>
      </w:r>
    </w:p>
    <w:p w:rsidR="00475BC2" w:rsidRDefault="00475BC2" w:rsidP="00475BC2">
      <w:pPr>
        <w:spacing w:line="360" w:lineRule="auto"/>
        <w:ind w:left="720" w:hanging="720"/>
        <w:jc w:val="both"/>
        <w:rPr>
          <w:rFonts w:ascii="David" w:hAnsi="David"/>
          <w:rtl/>
        </w:rPr>
      </w:pPr>
    </w:p>
    <w:p w:rsidR="00475BC2" w:rsidRDefault="00475BC2" w:rsidP="00475BC2">
      <w:pPr>
        <w:spacing w:line="360" w:lineRule="auto"/>
        <w:ind w:left="720" w:hanging="720"/>
        <w:jc w:val="both"/>
        <w:rPr>
          <w:rFonts w:ascii="David" w:hAnsi="David"/>
          <w:rtl/>
        </w:rPr>
      </w:pPr>
      <w:r>
        <w:rPr>
          <w:rFonts w:ascii="David" w:hAnsi="David"/>
          <w:rtl/>
        </w:rPr>
        <w:lastRenderedPageBreak/>
        <w:t>18.</w:t>
      </w:r>
      <w:r>
        <w:rPr>
          <w:rFonts w:ascii="David" w:hAnsi="David"/>
          <w:rtl/>
        </w:rPr>
        <w:tab/>
        <w:t xml:space="preserve">המסרונים המעידים על המצג שהציג המערער למשיבה – המשיבה הציגה מסרונים בין הצדדים המעידים על המצג שהציג בפניה המערער לפיו מקום המגורים של המשפחה הינו בגרמניה: מסרונים מיום 5.1.23- (הנתבע: "למה שלא נשכיר דירה בגרמניה וכולנו נגור שם") ומסרונים מיום 8.2.23- (הנתבע: "כשתבואו אצלנו לביקור זו הכוונה"). האפוט' לדין ציינה בסיכומיה כי בביקורה בבית האב הוא הכחיש את המסרונים ואף העלה סברה כי האם זייפה אותם. </w:t>
      </w:r>
    </w:p>
    <w:p w:rsidR="00475BC2" w:rsidRDefault="00475BC2" w:rsidP="00475BC2">
      <w:pPr>
        <w:spacing w:line="360" w:lineRule="auto"/>
        <w:ind w:left="720" w:hanging="720"/>
        <w:jc w:val="both"/>
        <w:rPr>
          <w:rFonts w:ascii="David" w:hAnsi="David"/>
          <w:rtl/>
        </w:rPr>
      </w:pPr>
    </w:p>
    <w:p w:rsidR="00475BC2" w:rsidRDefault="00475BC2" w:rsidP="00475BC2">
      <w:pPr>
        <w:spacing w:line="360" w:lineRule="auto"/>
        <w:ind w:left="720" w:hanging="720"/>
        <w:jc w:val="both"/>
        <w:rPr>
          <w:rFonts w:ascii="David" w:hAnsi="David"/>
          <w:rtl/>
        </w:rPr>
      </w:pPr>
      <w:r>
        <w:rPr>
          <w:rFonts w:ascii="David" w:hAnsi="David"/>
          <w:rtl/>
        </w:rPr>
        <w:t>19.</w:t>
      </w:r>
      <w:r>
        <w:rPr>
          <w:rFonts w:ascii="David" w:hAnsi="David"/>
          <w:rtl/>
        </w:rPr>
        <w:tab/>
        <w:t xml:space="preserve">החתימה על חוזה השכירות בגרמניה- בחודש 3/23 בעת שהייתו של המערער בברלין, נחתם חוזה שכירות למגורים בברלין. המשיבה חתומה על הסכם השכירות ושם המערער אינו מופיע על גבי ההסכם. המשיבה העידה כי המערער היה נוכח בעת החתימה על הסכם השכירות. </w:t>
      </w:r>
    </w:p>
    <w:p w:rsidR="00F00A80" w:rsidRDefault="00F00A80" w:rsidP="00475BC2">
      <w:pPr>
        <w:spacing w:line="360" w:lineRule="auto"/>
        <w:ind w:left="720" w:hanging="720"/>
        <w:jc w:val="both"/>
        <w:rPr>
          <w:rFonts w:ascii="David" w:hAnsi="David"/>
          <w:rtl/>
        </w:rPr>
      </w:pPr>
    </w:p>
    <w:p w:rsidR="00475BC2" w:rsidRDefault="00475BC2" w:rsidP="005779ED">
      <w:pPr>
        <w:spacing w:line="360" w:lineRule="auto"/>
        <w:ind w:left="720" w:hanging="720"/>
        <w:jc w:val="both"/>
        <w:rPr>
          <w:rFonts w:ascii="David" w:hAnsi="David"/>
          <w:rtl/>
        </w:rPr>
      </w:pPr>
      <w:r>
        <w:rPr>
          <w:rFonts w:ascii="David" w:hAnsi="David"/>
          <w:rtl/>
        </w:rPr>
        <w:t>20.</w:t>
      </w:r>
      <w:r>
        <w:rPr>
          <w:rFonts w:ascii="David" w:hAnsi="David"/>
          <w:rtl/>
        </w:rPr>
        <w:tab/>
        <w:t xml:space="preserve">הגב' </w:t>
      </w:r>
      <w:r w:rsidR="00082F61">
        <w:rPr>
          <w:rFonts w:ascii="David" w:hAnsi="David" w:hint="cs"/>
          <w:rtl/>
        </w:rPr>
        <w:t>--------</w:t>
      </w:r>
      <w:r>
        <w:rPr>
          <w:rFonts w:ascii="David" w:hAnsi="David"/>
          <w:rtl/>
        </w:rPr>
        <w:t xml:space="preserve"> (שכנה וחברה של המשיבה מברלין) העידה כי ראתה את הצדדים בדרך לחתימה על הסכם השכירות. גם הגב' </w:t>
      </w:r>
      <w:r w:rsidR="00082F61">
        <w:rPr>
          <w:rFonts w:ascii="David" w:hAnsi="David" w:hint="cs"/>
          <w:rtl/>
        </w:rPr>
        <w:t>-------</w:t>
      </w:r>
      <w:r>
        <w:rPr>
          <w:rFonts w:ascii="David" w:hAnsi="David"/>
          <w:rtl/>
        </w:rPr>
        <w:t xml:space="preserve"> (אחותה של המשיבה) העידה כי ראתה את המערער נוכח בעת החתימה על הסכם השכירות. </w:t>
      </w:r>
    </w:p>
    <w:p w:rsidR="00F00A80" w:rsidRDefault="00F00A80" w:rsidP="00475BC2">
      <w:pPr>
        <w:spacing w:line="360" w:lineRule="auto"/>
        <w:ind w:left="720" w:hanging="720"/>
        <w:jc w:val="both"/>
        <w:rPr>
          <w:rFonts w:ascii="David" w:hAnsi="David"/>
          <w:rtl/>
        </w:rPr>
      </w:pPr>
    </w:p>
    <w:p w:rsidR="00475BC2" w:rsidRDefault="00475BC2" w:rsidP="00475BC2">
      <w:pPr>
        <w:spacing w:line="360" w:lineRule="auto"/>
        <w:ind w:left="720" w:hanging="720"/>
        <w:jc w:val="both"/>
        <w:rPr>
          <w:rFonts w:ascii="David" w:hAnsi="David"/>
          <w:rtl/>
        </w:rPr>
      </w:pPr>
      <w:r>
        <w:rPr>
          <w:rFonts w:ascii="David" w:hAnsi="David"/>
          <w:rtl/>
        </w:rPr>
        <w:t>21.</w:t>
      </w:r>
      <w:r>
        <w:rPr>
          <w:rFonts w:ascii="David" w:hAnsi="David"/>
          <w:rtl/>
        </w:rPr>
        <w:tab/>
        <w:t xml:space="preserve">לדברי האפוט' לדין, בשיחה עם האב מיום 3.1.24 הוא טען שלא ידע על השכרת הדירה בברלין עד שקרא על כך בכתב התביעה, ואולם, בחקירתו בדיון מיום 4.2.24 הציג האב גרסה אחרת, שונה, לפיה כוונתו הייתה להשכיר דירה "בשביל ביקור". </w:t>
      </w:r>
    </w:p>
    <w:p w:rsidR="00F00A80" w:rsidRDefault="00F00A80" w:rsidP="00475BC2">
      <w:pPr>
        <w:spacing w:line="360" w:lineRule="auto"/>
        <w:ind w:left="720" w:hanging="720"/>
        <w:jc w:val="both"/>
        <w:rPr>
          <w:rFonts w:ascii="David" w:hAnsi="David"/>
          <w:rtl/>
        </w:rPr>
      </w:pPr>
    </w:p>
    <w:p w:rsidR="00475BC2" w:rsidRDefault="00475BC2" w:rsidP="00082F61">
      <w:pPr>
        <w:spacing w:line="360" w:lineRule="auto"/>
        <w:ind w:left="720" w:hanging="720"/>
        <w:jc w:val="both"/>
        <w:rPr>
          <w:rFonts w:ascii="David" w:hAnsi="David"/>
          <w:rtl/>
        </w:rPr>
      </w:pPr>
      <w:r>
        <w:rPr>
          <w:rFonts w:ascii="David" w:hAnsi="David"/>
          <w:rtl/>
        </w:rPr>
        <w:t>22.</w:t>
      </w:r>
      <w:r>
        <w:rPr>
          <w:rFonts w:ascii="David" w:hAnsi="David"/>
          <w:rtl/>
        </w:rPr>
        <w:tab/>
        <w:t xml:space="preserve">המערער הכחיש בחקירתו כי היה נוכח בחתימה על הסכם השכירות, ואולם ביהמ"ש קמא קיבל את גרסת המשיבה אשר עדותה הייתה אמינה בעיניו וקיבלה חיזוק בעדותן של הגב' </w:t>
      </w:r>
      <w:r w:rsidR="00082F61">
        <w:rPr>
          <w:rFonts w:ascii="David" w:hAnsi="David" w:hint="cs"/>
          <w:rtl/>
        </w:rPr>
        <w:t>---------</w:t>
      </w:r>
      <w:r>
        <w:rPr>
          <w:rFonts w:ascii="David" w:hAnsi="David"/>
          <w:rtl/>
        </w:rPr>
        <w:t xml:space="preserve"> (שאף עדותה נמצאה כמהימנה) והגב' </w:t>
      </w:r>
      <w:r w:rsidR="00082F61">
        <w:rPr>
          <w:rFonts w:ascii="David" w:hAnsi="David" w:hint="cs"/>
          <w:rtl/>
        </w:rPr>
        <w:t>----------</w:t>
      </w:r>
      <w:r>
        <w:rPr>
          <w:rFonts w:ascii="David" w:hAnsi="David"/>
          <w:rtl/>
        </w:rPr>
        <w:t xml:space="preserve">. </w:t>
      </w:r>
    </w:p>
    <w:p w:rsidR="00F00A80" w:rsidRDefault="00F00A80" w:rsidP="00475BC2">
      <w:pPr>
        <w:spacing w:line="360" w:lineRule="auto"/>
        <w:ind w:left="720" w:hanging="720"/>
        <w:jc w:val="both"/>
        <w:rPr>
          <w:rFonts w:ascii="David" w:hAnsi="David"/>
          <w:rtl/>
        </w:rPr>
      </w:pPr>
    </w:p>
    <w:p w:rsidR="00475BC2" w:rsidRDefault="00475BC2" w:rsidP="00082F61">
      <w:pPr>
        <w:spacing w:line="360" w:lineRule="auto"/>
        <w:ind w:left="720" w:hanging="720"/>
        <w:jc w:val="both"/>
        <w:rPr>
          <w:rFonts w:ascii="David" w:hAnsi="David"/>
          <w:rtl/>
        </w:rPr>
      </w:pPr>
      <w:r>
        <w:rPr>
          <w:rFonts w:ascii="David" w:hAnsi="David"/>
          <w:rtl/>
        </w:rPr>
        <w:t>23.</w:t>
      </w:r>
      <w:r>
        <w:rPr>
          <w:rFonts w:ascii="David" w:hAnsi="David"/>
          <w:rtl/>
        </w:rPr>
        <w:tab/>
        <w:t xml:space="preserve">רישום הקטינה לפעוטון בגרמניה- בחודש 3/23, בעת שהייתו של המערער בברלין, הקטינה נרשמה לגן ילדים בגרמניה. צורף אישור מעון היום </w:t>
      </w:r>
      <w:r w:rsidR="00082F61">
        <w:rPr>
          <w:rFonts w:ascii="David" w:hAnsi="David" w:hint="cs"/>
          <w:rtl/>
        </w:rPr>
        <w:t>-------</w:t>
      </w:r>
      <w:r>
        <w:rPr>
          <w:rFonts w:ascii="David" w:hAnsi="David"/>
          <w:rtl/>
        </w:rPr>
        <w:t xml:space="preserve"> מיום 12.12.23. </w:t>
      </w:r>
    </w:p>
    <w:p w:rsidR="00EA2AA2" w:rsidRDefault="00EA2AA2" w:rsidP="00475BC2">
      <w:pPr>
        <w:spacing w:line="360" w:lineRule="auto"/>
        <w:ind w:left="720" w:hanging="720"/>
        <w:jc w:val="both"/>
        <w:rPr>
          <w:rFonts w:ascii="David" w:hAnsi="David"/>
          <w:rtl/>
        </w:rPr>
      </w:pPr>
    </w:p>
    <w:p w:rsidR="00475BC2" w:rsidRDefault="00475BC2" w:rsidP="00475BC2">
      <w:pPr>
        <w:spacing w:line="360" w:lineRule="auto"/>
        <w:ind w:left="720" w:hanging="720"/>
        <w:jc w:val="both"/>
        <w:rPr>
          <w:rFonts w:ascii="David" w:hAnsi="David"/>
          <w:rtl/>
        </w:rPr>
      </w:pPr>
      <w:r>
        <w:rPr>
          <w:rFonts w:ascii="David" w:hAnsi="David"/>
          <w:rtl/>
        </w:rPr>
        <w:t>24.</w:t>
      </w:r>
      <w:r>
        <w:rPr>
          <w:rFonts w:ascii="David" w:hAnsi="David"/>
          <w:rtl/>
        </w:rPr>
        <w:tab/>
        <w:t xml:space="preserve">הסכמת הצדדים לחזור עם הקטינה לגרמניה לאחר ביקור בישראל וטורקיה בחודש 6/23 וחזרתו של המערער מהסכמתו- הצדדים הסכימו כי יטוסו לביקור בישראל וטורקיה ולאחר מכן יחזרו לגרמניה. מתכתובת מסרונים מיום 11.4.23 עולה כי המשיבה אומרת למערער: "...בנוסף, אתה יודע שאני רק לכמה ימים הגעתי ושוב חוזרת. על מה הדיבור הזה?" והמערער משיב לה: "אוקיי". בפועל, חזר בו המערער מהסכמתו והחליט באופן חד צדדי (ככל הנראה בעקבות לחץ מצד משפחתו) כי המשפחה תתגורר בישראל, והמשיבה והקטינה לא תחזורנה לגרמניה. על כן, סירב להעביר למשיבה את הדרכונים שלה ושל </w:t>
      </w:r>
      <w:r>
        <w:rPr>
          <w:rFonts w:ascii="David" w:hAnsi="David"/>
          <w:rtl/>
        </w:rPr>
        <w:lastRenderedPageBreak/>
        <w:t xml:space="preserve">הקטינה, במטרה להותירן בישראל, וזאת בניגוד לרצונה ובניגוד למצג שהציג בפניה עד לאותו מועד.  </w:t>
      </w:r>
    </w:p>
    <w:p w:rsidR="00F00A80" w:rsidRDefault="00F00A80" w:rsidP="00475BC2">
      <w:pPr>
        <w:spacing w:line="360" w:lineRule="auto"/>
        <w:ind w:left="720" w:hanging="720"/>
        <w:jc w:val="both"/>
        <w:rPr>
          <w:rFonts w:ascii="David" w:hAnsi="David"/>
          <w:rtl/>
        </w:rPr>
      </w:pPr>
    </w:p>
    <w:p w:rsidR="00475BC2" w:rsidRDefault="00475BC2" w:rsidP="00082F61">
      <w:pPr>
        <w:spacing w:line="360" w:lineRule="auto"/>
        <w:ind w:left="720" w:hanging="720"/>
        <w:jc w:val="both"/>
        <w:rPr>
          <w:rFonts w:ascii="David" w:hAnsi="David"/>
          <w:rtl/>
        </w:rPr>
      </w:pPr>
      <w:r>
        <w:rPr>
          <w:rFonts w:ascii="David" w:hAnsi="David"/>
          <w:rtl/>
        </w:rPr>
        <w:t>25.</w:t>
      </w:r>
      <w:r>
        <w:rPr>
          <w:rFonts w:ascii="David" w:hAnsi="David"/>
          <w:rtl/>
        </w:rPr>
        <w:tab/>
        <w:t xml:space="preserve">עדות הגב' </w:t>
      </w:r>
      <w:r w:rsidR="00082F61">
        <w:rPr>
          <w:rFonts w:ascii="David" w:hAnsi="David" w:hint="cs"/>
          <w:rtl/>
        </w:rPr>
        <w:t>--------</w:t>
      </w:r>
      <w:r>
        <w:rPr>
          <w:rFonts w:ascii="David" w:hAnsi="David"/>
          <w:rtl/>
        </w:rPr>
        <w:t xml:space="preserve"> (אחותה של המשיבה) בעניין הותירה רושם אמין, והתקבלה גרסתה אשר עולה בקנה אחד עם גרסת המשיבה. </w:t>
      </w:r>
    </w:p>
    <w:p w:rsidR="00F00A80" w:rsidRDefault="00F00A80" w:rsidP="00475BC2">
      <w:pPr>
        <w:spacing w:line="360" w:lineRule="auto"/>
        <w:ind w:left="720" w:hanging="720"/>
        <w:jc w:val="both"/>
        <w:rPr>
          <w:rFonts w:ascii="David" w:hAnsi="David"/>
          <w:rtl/>
        </w:rPr>
      </w:pPr>
    </w:p>
    <w:p w:rsidR="00475BC2" w:rsidRDefault="00475BC2" w:rsidP="00082F61">
      <w:pPr>
        <w:spacing w:line="360" w:lineRule="auto"/>
        <w:ind w:left="720" w:hanging="720"/>
        <w:jc w:val="both"/>
        <w:rPr>
          <w:rFonts w:ascii="David" w:hAnsi="David"/>
          <w:rtl/>
        </w:rPr>
      </w:pPr>
      <w:r>
        <w:rPr>
          <w:rFonts w:ascii="David" w:hAnsi="David"/>
          <w:rtl/>
        </w:rPr>
        <w:t>26.</w:t>
      </w:r>
      <w:r>
        <w:rPr>
          <w:rFonts w:ascii="David" w:hAnsi="David"/>
          <w:rtl/>
        </w:rPr>
        <w:tab/>
      </w:r>
      <w:r w:rsidRPr="00082F61">
        <w:rPr>
          <w:rFonts w:ascii="David" w:hAnsi="David"/>
          <w:rtl/>
        </w:rPr>
        <w:t>האב אישר בחקירתו כי הוא לא העביר למשיבה את הדרכונים שלה ושל הקטינה (שהוחזקו בכספת שלו ב</w:t>
      </w:r>
      <w:r w:rsidR="00082F61" w:rsidRPr="00082F61">
        <w:rPr>
          <w:rFonts w:ascii="David" w:hAnsi="David" w:hint="cs"/>
          <w:rtl/>
        </w:rPr>
        <w:t>---------)</w:t>
      </w:r>
      <w:r w:rsidRPr="00082F61">
        <w:rPr>
          <w:rFonts w:ascii="David" w:hAnsi="David"/>
          <w:rtl/>
        </w:rPr>
        <w:t>.</w:t>
      </w:r>
      <w:r>
        <w:rPr>
          <w:rFonts w:ascii="David" w:hAnsi="David"/>
          <w:rtl/>
        </w:rPr>
        <w:t xml:space="preserve"> </w:t>
      </w:r>
    </w:p>
    <w:p w:rsidR="00F00A80" w:rsidRDefault="00F00A80" w:rsidP="00475BC2">
      <w:pPr>
        <w:spacing w:line="360" w:lineRule="auto"/>
        <w:ind w:left="720" w:hanging="720"/>
        <w:jc w:val="both"/>
        <w:rPr>
          <w:rFonts w:ascii="David" w:hAnsi="David"/>
          <w:rtl/>
        </w:rPr>
      </w:pPr>
    </w:p>
    <w:p w:rsidR="00475BC2" w:rsidRDefault="00475BC2" w:rsidP="00082F61">
      <w:pPr>
        <w:spacing w:line="360" w:lineRule="auto"/>
        <w:ind w:left="720" w:hanging="720"/>
        <w:jc w:val="both"/>
        <w:rPr>
          <w:rFonts w:ascii="David" w:hAnsi="David"/>
          <w:rtl/>
        </w:rPr>
      </w:pPr>
      <w:r>
        <w:rPr>
          <w:rFonts w:ascii="David" w:hAnsi="David"/>
          <w:rtl/>
        </w:rPr>
        <w:t>27.</w:t>
      </w:r>
      <w:r>
        <w:rPr>
          <w:rFonts w:ascii="David" w:hAnsi="David"/>
          <w:rtl/>
        </w:rPr>
        <w:tab/>
        <w:t>לאחר שהשיב המערער למשיבה את דרכונה, כשהיא לבדה בישראל, ללא משפחת המוצא שלה, ללא תמיכה ובהיריון עם בנם השני של הצדדים, היא נאלצה, בעקבות התנהלותו של המערער לקבל החלטה קשה: להישאר בישראל או לחזור לביתה בגרמניה, שם תקבל תמיכה ממשפחת המוצא שלה, ומשם תוכל לפעול להחזרת בתה הקטינה אליה. מיד עם הגעתה לגרמניה ביום 28.9.23, החלה המשיבה בהליכים משפטיים לצורך החזרת הקטינה לגרמניה. עדותה של הגב'</w:t>
      </w:r>
      <w:r w:rsidR="00082F61">
        <w:rPr>
          <w:rFonts w:ascii="David" w:hAnsi="David" w:hint="cs"/>
          <w:rtl/>
        </w:rPr>
        <w:t xml:space="preserve"> ----------</w:t>
      </w:r>
      <w:r>
        <w:rPr>
          <w:rFonts w:ascii="David" w:hAnsi="David"/>
          <w:rtl/>
        </w:rPr>
        <w:t xml:space="preserve"> (שהייתה מורתה של המשיבה בין השנים 2014-2018) אשר תיארה את מצבה של המשיבה בתקופה זו ואת הייעוץ שנתנה לה בעת קבלת החלטתה האמורה, נמצאה מהימנה. </w:t>
      </w:r>
    </w:p>
    <w:p w:rsidR="00F00A80" w:rsidRDefault="00F00A80" w:rsidP="00475BC2">
      <w:pPr>
        <w:spacing w:line="360" w:lineRule="auto"/>
        <w:ind w:left="720" w:hanging="720"/>
        <w:jc w:val="both"/>
        <w:rPr>
          <w:rFonts w:ascii="David" w:hAnsi="David"/>
          <w:rtl/>
        </w:rPr>
      </w:pPr>
    </w:p>
    <w:p w:rsidR="00475BC2" w:rsidRDefault="00475BC2" w:rsidP="00475BC2">
      <w:pPr>
        <w:spacing w:line="360" w:lineRule="auto"/>
        <w:ind w:left="720" w:hanging="720"/>
        <w:jc w:val="both"/>
        <w:rPr>
          <w:rFonts w:ascii="David" w:hAnsi="David"/>
          <w:rtl/>
        </w:rPr>
      </w:pPr>
      <w:r>
        <w:rPr>
          <w:rFonts w:ascii="David" w:hAnsi="David"/>
          <w:rtl/>
        </w:rPr>
        <w:t>28.</w:t>
      </w:r>
      <w:r>
        <w:rPr>
          <w:rFonts w:ascii="David" w:hAnsi="David"/>
          <w:rtl/>
        </w:rPr>
        <w:tab/>
        <w:t>גרסתה של המשיבה לעניין מקום המגורים הרגיל של הקטינה הייתה אחידה ועקבית לכל אורך ההליך. גרסתה אף עלתה מהתלונה שהגישה למשטרת גרמניה ביום 28.9.23 בשעה 22:15 מיד לאחר שנחתה בגרמניה לבדה. מנגד, גרסתו של האב לא הייתה קוהרנטית ואחידה כלל ועיקר. עדותו של המערער הייתה מתחמקת, הוא הציג גרסאות סותרות, ועדותו התאפיינה בסתירות שאינן ניתנות ליישוב.</w:t>
      </w:r>
    </w:p>
    <w:p w:rsidR="00F00A80" w:rsidRDefault="00F00A80" w:rsidP="00475BC2">
      <w:pPr>
        <w:spacing w:line="360" w:lineRule="auto"/>
        <w:ind w:left="720" w:hanging="720"/>
        <w:jc w:val="both"/>
        <w:rPr>
          <w:rFonts w:ascii="David" w:hAnsi="David"/>
          <w:rtl/>
        </w:rPr>
      </w:pPr>
    </w:p>
    <w:p w:rsidR="00475BC2" w:rsidRDefault="00475BC2" w:rsidP="00475BC2">
      <w:pPr>
        <w:spacing w:line="360" w:lineRule="auto"/>
        <w:ind w:left="720" w:hanging="720"/>
        <w:jc w:val="both"/>
        <w:rPr>
          <w:rFonts w:ascii="David" w:hAnsi="David"/>
          <w:rtl/>
        </w:rPr>
      </w:pPr>
      <w:r>
        <w:rPr>
          <w:rFonts w:ascii="David" w:hAnsi="David"/>
          <w:rtl/>
        </w:rPr>
        <w:t>29.</w:t>
      </w:r>
      <w:r>
        <w:rPr>
          <w:rFonts w:ascii="David" w:hAnsi="David"/>
          <w:rtl/>
        </w:rPr>
        <w:tab/>
        <w:t>לנוכח האמור לעיל, התקבלה גרסת האם לעניין מקום המגורים הרגיל של הקטינה, ונקבע כי מקום המגורים הרגיל של הקטינה הינו ברלין בגרמניה.</w:t>
      </w:r>
    </w:p>
    <w:p w:rsidR="00F00A80" w:rsidRDefault="00F00A80" w:rsidP="00475BC2">
      <w:pPr>
        <w:spacing w:line="360" w:lineRule="auto"/>
        <w:ind w:left="720" w:hanging="720"/>
        <w:jc w:val="both"/>
        <w:rPr>
          <w:rFonts w:ascii="David" w:hAnsi="David"/>
          <w:rtl/>
        </w:rPr>
      </w:pPr>
    </w:p>
    <w:p w:rsidR="00475BC2" w:rsidRDefault="00475BC2" w:rsidP="00475BC2">
      <w:pPr>
        <w:spacing w:line="360" w:lineRule="auto"/>
        <w:ind w:left="720" w:hanging="720"/>
        <w:jc w:val="both"/>
        <w:rPr>
          <w:rFonts w:ascii="David" w:hAnsi="David"/>
          <w:rtl/>
        </w:rPr>
      </w:pPr>
      <w:r>
        <w:rPr>
          <w:rFonts w:ascii="David" w:hAnsi="David"/>
          <w:rtl/>
        </w:rPr>
        <w:t>30.</w:t>
      </w:r>
      <w:r>
        <w:rPr>
          <w:rFonts w:ascii="David" w:hAnsi="David"/>
          <w:rtl/>
        </w:rPr>
        <w:tab/>
        <w:t>התנאים המקדמיים השני והשלישי לתחולת האמנה: המעשה הפר את זכויות המשמורת של ההורה "הנחטף", וזכויות אלו הופעלו בפועל.</w:t>
      </w:r>
    </w:p>
    <w:p w:rsidR="002126FC" w:rsidRDefault="002126FC" w:rsidP="00475BC2">
      <w:pPr>
        <w:spacing w:line="360" w:lineRule="auto"/>
        <w:ind w:left="720" w:hanging="720"/>
        <w:jc w:val="both"/>
        <w:rPr>
          <w:rFonts w:ascii="David" w:hAnsi="David"/>
          <w:rtl/>
        </w:rPr>
      </w:pPr>
    </w:p>
    <w:p w:rsidR="00475BC2" w:rsidRDefault="00475BC2" w:rsidP="00475BC2">
      <w:pPr>
        <w:spacing w:line="360" w:lineRule="auto"/>
        <w:ind w:left="720" w:hanging="720"/>
        <w:jc w:val="both"/>
        <w:rPr>
          <w:rFonts w:ascii="David" w:hAnsi="David"/>
          <w:rtl/>
        </w:rPr>
      </w:pPr>
      <w:r>
        <w:rPr>
          <w:rFonts w:ascii="David" w:hAnsi="David"/>
          <w:rtl/>
        </w:rPr>
        <w:t>31.</w:t>
      </w:r>
      <w:r>
        <w:rPr>
          <w:rFonts w:ascii="David" w:hAnsi="David"/>
          <w:rtl/>
        </w:rPr>
        <w:tab/>
        <w:t xml:space="preserve">בחינת לשון החוק בגרמניה מעלה כי נכון לעת הזו מבחינה חוקית שני ההורים הינם בעלי זכות שווה למשמורת. המערער לא חלק על נוסח החוק, לא הפריך אותו ולא טען כי הוא אינו נכון. </w:t>
      </w:r>
    </w:p>
    <w:p w:rsidR="00F00A80" w:rsidRDefault="00F00A80" w:rsidP="00475BC2">
      <w:pPr>
        <w:spacing w:line="360" w:lineRule="auto"/>
        <w:ind w:left="720" w:hanging="720"/>
        <w:jc w:val="both"/>
        <w:rPr>
          <w:rFonts w:ascii="David" w:hAnsi="David"/>
          <w:rtl/>
        </w:rPr>
      </w:pPr>
    </w:p>
    <w:p w:rsidR="00475BC2" w:rsidRDefault="00475BC2" w:rsidP="00475BC2">
      <w:pPr>
        <w:spacing w:line="360" w:lineRule="auto"/>
        <w:ind w:left="720" w:hanging="720"/>
        <w:jc w:val="both"/>
        <w:rPr>
          <w:rFonts w:ascii="David" w:hAnsi="David"/>
          <w:rtl/>
        </w:rPr>
      </w:pPr>
      <w:r>
        <w:rPr>
          <w:rFonts w:ascii="David" w:hAnsi="David"/>
          <w:rtl/>
        </w:rPr>
        <w:lastRenderedPageBreak/>
        <w:t>32.</w:t>
      </w:r>
      <w:r>
        <w:rPr>
          <w:rFonts w:ascii="David" w:hAnsi="David"/>
          <w:rtl/>
        </w:rPr>
        <w:tab/>
        <w:t>על כן, נקבע כי על פי הדין הזר החל בגרמניה לאם זכויות משמורת כפי שיש לאב. במצב דברים זה קביעה חד צדדית של האב על הישארות בישראל של הקטינה וסירוב לחזור לגרמניה יש לראותה כמפרה את זכויות המשמורת של האם על פי האמנה. בעצם מניעת העברת הדרכונים לידי המשיבה, מנע האב את האפשרות של חזרת הקטינה לגרמניה, בניגוד לבקשת האם, אשר הייתה ידועה לאב.</w:t>
      </w:r>
    </w:p>
    <w:p w:rsidR="00F00A80" w:rsidRDefault="00F00A80" w:rsidP="00475BC2">
      <w:pPr>
        <w:spacing w:line="360" w:lineRule="auto"/>
        <w:ind w:left="720" w:hanging="720"/>
        <w:jc w:val="both"/>
        <w:rPr>
          <w:rFonts w:ascii="David" w:hAnsi="David"/>
          <w:rtl/>
        </w:rPr>
      </w:pPr>
    </w:p>
    <w:p w:rsidR="00475BC2" w:rsidRDefault="00475BC2" w:rsidP="00475BC2">
      <w:pPr>
        <w:spacing w:line="360" w:lineRule="auto"/>
        <w:ind w:left="720" w:hanging="720"/>
        <w:jc w:val="both"/>
        <w:rPr>
          <w:rFonts w:ascii="David" w:hAnsi="David"/>
          <w:rtl/>
        </w:rPr>
      </w:pPr>
      <w:r>
        <w:rPr>
          <w:rFonts w:ascii="David" w:hAnsi="David"/>
          <w:rtl/>
        </w:rPr>
        <w:t>33.</w:t>
      </w:r>
      <w:r>
        <w:rPr>
          <w:rFonts w:ascii="David" w:hAnsi="David"/>
          <w:rtl/>
        </w:rPr>
        <w:tab/>
        <w:t>לאור כל האמור לעיל, נקבע כי אין כל ספק שהותרת הקטינה בישראל לא הייתה מוסכמת על האם, ועל כן נעשתה שלא כדין. מכאן כי אי החזרת הקטינה מישראל לגרמניה היא בגדר חטיפה, בניגוד להוראת סעיף 3 לאמנה.</w:t>
      </w:r>
    </w:p>
    <w:p w:rsidR="00F00A80" w:rsidRDefault="00F00A80" w:rsidP="00475BC2">
      <w:pPr>
        <w:spacing w:line="360" w:lineRule="auto"/>
        <w:ind w:left="720" w:hanging="720"/>
        <w:jc w:val="both"/>
        <w:rPr>
          <w:rFonts w:ascii="David" w:hAnsi="David"/>
          <w:rtl/>
        </w:rPr>
      </w:pPr>
    </w:p>
    <w:p w:rsidR="00475BC2" w:rsidRDefault="00475BC2" w:rsidP="00F00A80">
      <w:pPr>
        <w:spacing w:line="360" w:lineRule="auto"/>
        <w:ind w:left="720" w:hanging="720"/>
        <w:jc w:val="both"/>
        <w:rPr>
          <w:rFonts w:ascii="David" w:hAnsi="David"/>
          <w:rtl/>
        </w:rPr>
      </w:pPr>
      <w:r>
        <w:rPr>
          <w:rFonts w:ascii="David" w:hAnsi="David"/>
          <w:rtl/>
        </w:rPr>
        <w:t>34.</w:t>
      </w:r>
      <w:r>
        <w:rPr>
          <w:rFonts w:ascii="David" w:hAnsi="David"/>
          <w:rtl/>
        </w:rPr>
        <w:tab/>
        <w:t>משבחינת תחולת האמנה העלתה, כי היא חלה בענייננו, פנה ביהמ"ש קמא לשלב השני: בחינת טענותיו של האב בדבר קיומו של החריג לחובת ההחזרה המיידית של הקטינה על פי סעיף 13 (ב) לאמנה.</w:t>
      </w:r>
    </w:p>
    <w:p w:rsidR="00F00A80" w:rsidRDefault="00F00A80" w:rsidP="00F00A80">
      <w:pPr>
        <w:spacing w:line="360" w:lineRule="auto"/>
        <w:ind w:left="720" w:hanging="720"/>
        <w:jc w:val="both"/>
        <w:rPr>
          <w:rFonts w:ascii="David" w:hAnsi="David"/>
          <w:rtl/>
        </w:rPr>
      </w:pPr>
    </w:p>
    <w:p w:rsidR="00475BC2" w:rsidRDefault="00475BC2" w:rsidP="00475BC2">
      <w:pPr>
        <w:spacing w:line="360" w:lineRule="auto"/>
        <w:ind w:left="720" w:hanging="720"/>
        <w:rPr>
          <w:rFonts w:ascii="David" w:hAnsi="David"/>
          <w:b/>
          <w:bCs/>
          <w:rtl/>
        </w:rPr>
      </w:pPr>
      <w:r>
        <w:rPr>
          <w:rFonts w:ascii="David" w:hAnsi="David"/>
          <w:b/>
          <w:bCs/>
          <w:rtl/>
        </w:rPr>
        <w:t>השלב השני- האם במקרה דנן חל החריג על פי סעיף 13 (ב) לאמנה?</w:t>
      </w:r>
    </w:p>
    <w:p w:rsidR="00F00A80" w:rsidRDefault="00F00A80" w:rsidP="00475BC2">
      <w:pPr>
        <w:spacing w:line="360" w:lineRule="auto"/>
        <w:ind w:left="720" w:hanging="720"/>
        <w:rPr>
          <w:rFonts w:ascii="David" w:hAnsi="David"/>
          <w:b/>
          <w:bCs/>
          <w:rtl/>
        </w:rPr>
      </w:pPr>
    </w:p>
    <w:p w:rsidR="00475BC2" w:rsidRDefault="00475BC2" w:rsidP="00475BC2">
      <w:pPr>
        <w:spacing w:line="360" w:lineRule="auto"/>
        <w:ind w:left="720" w:hanging="720"/>
        <w:jc w:val="both"/>
        <w:rPr>
          <w:rFonts w:ascii="David" w:hAnsi="David"/>
          <w:rtl/>
        </w:rPr>
      </w:pPr>
      <w:r>
        <w:rPr>
          <w:rFonts w:ascii="David" w:hAnsi="David"/>
          <w:rtl/>
        </w:rPr>
        <w:t>35.</w:t>
      </w:r>
      <w:r>
        <w:rPr>
          <w:rFonts w:ascii="David" w:hAnsi="David"/>
          <w:rtl/>
        </w:rPr>
        <w:tab/>
        <w:t xml:space="preserve">ראשית, </w:t>
      </w:r>
      <w:r>
        <w:rPr>
          <w:rFonts w:ascii="David" w:hAnsi="David"/>
          <w:b/>
          <w:bCs/>
          <w:rtl/>
        </w:rPr>
        <w:t>המערער לא טען בכתב הגנתו לעניין קיומו של חריג על פי האמנה כלל</w:t>
      </w:r>
      <w:r>
        <w:rPr>
          <w:rFonts w:ascii="David" w:hAnsi="David"/>
          <w:rtl/>
        </w:rPr>
        <w:t xml:space="preserve">. טענתו זו עלתה לראשונה בסיכומיו. בנסיבות אלו, התקבלה טענת האם לפיה מדובר בהרחבת חזית. בענייננו, מדובר בהרחבת חזית, האסורה פרוצדוראלית. </w:t>
      </w:r>
    </w:p>
    <w:p w:rsidR="00613272" w:rsidRDefault="00613272" w:rsidP="00475BC2">
      <w:pPr>
        <w:spacing w:line="360" w:lineRule="auto"/>
        <w:ind w:left="720" w:hanging="720"/>
        <w:jc w:val="both"/>
        <w:rPr>
          <w:rFonts w:ascii="David" w:hAnsi="David"/>
          <w:rtl/>
        </w:rPr>
      </w:pPr>
    </w:p>
    <w:p w:rsidR="00475BC2" w:rsidRDefault="00475BC2" w:rsidP="00475BC2">
      <w:pPr>
        <w:spacing w:line="360" w:lineRule="auto"/>
        <w:ind w:left="720" w:hanging="720"/>
        <w:jc w:val="both"/>
        <w:rPr>
          <w:rFonts w:ascii="David" w:hAnsi="David"/>
          <w:rtl/>
        </w:rPr>
      </w:pPr>
      <w:r>
        <w:rPr>
          <w:rFonts w:ascii="David" w:hAnsi="David"/>
          <w:rtl/>
        </w:rPr>
        <w:t>36.</w:t>
      </w:r>
      <w:r>
        <w:rPr>
          <w:rFonts w:ascii="David" w:hAnsi="David"/>
          <w:rtl/>
        </w:rPr>
        <w:tab/>
        <w:t xml:space="preserve">שנית, גם לגופו של עניין, נמצא כי </w:t>
      </w:r>
      <w:r>
        <w:rPr>
          <w:rFonts w:ascii="David" w:hAnsi="David"/>
          <w:b/>
          <w:bCs/>
          <w:rtl/>
        </w:rPr>
        <w:t>לא</w:t>
      </w:r>
      <w:r>
        <w:rPr>
          <w:rFonts w:ascii="David" w:hAnsi="David"/>
          <w:rtl/>
        </w:rPr>
        <w:t xml:space="preserve"> מתקיים בענייננו חריג הנזק מכוח סעיף 13 (ב) לאמנה. </w:t>
      </w:r>
    </w:p>
    <w:p w:rsidR="00613272" w:rsidRDefault="00613272" w:rsidP="00475BC2">
      <w:pPr>
        <w:spacing w:line="360" w:lineRule="auto"/>
        <w:ind w:left="720" w:hanging="720"/>
        <w:jc w:val="both"/>
        <w:rPr>
          <w:rFonts w:ascii="David" w:hAnsi="David"/>
          <w:rtl/>
        </w:rPr>
      </w:pPr>
    </w:p>
    <w:p w:rsidR="00475BC2" w:rsidRDefault="00475BC2" w:rsidP="00475BC2">
      <w:pPr>
        <w:spacing w:line="360" w:lineRule="auto"/>
        <w:ind w:left="720" w:hanging="720"/>
        <w:jc w:val="both"/>
        <w:rPr>
          <w:rFonts w:ascii="David" w:hAnsi="David"/>
          <w:rtl/>
        </w:rPr>
      </w:pPr>
      <w:r>
        <w:rPr>
          <w:rFonts w:ascii="David" w:hAnsi="David"/>
          <w:rtl/>
        </w:rPr>
        <w:t>37.</w:t>
      </w:r>
      <w:r>
        <w:rPr>
          <w:rFonts w:ascii="David" w:hAnsi="David"/>
          <w:rtl/>
        </w:rPr>
        <w:tab/>
        <w:t>סעיף 13(ב) לאמנה קובע כדלקמן: "קיים חשש חמור שהחזרתו של הילד תחשוף אותו לנזק פיזי או פסיכולוגי או תעמיד את הילד בדרך אחרת במצב בלתי נסבל".</w:t>
      </w:r>
    </w:p>
    <w:p w:rsidR="00AA7442" w:rsidRDefault="00AA7442" w:rsidP="00475BC2">
      <w:pPr>
        <w:spacing w:line="360" w:lineRule="auto"/>
        <w:ind w:left="720" w:hanging="720"/>
        <w:jc w:val="both"/>
        <w:rPr>
          <w:rFonts w:ascii="David" w:hAnsi="David"/>
          <w:rtl/>
        </w:rPr>
      </w:pPr>
    </w:p>
    <w:p w:rsidR="00475BC2" w:rsidRDefault="00475BC2" w:rsidP="00475BC2">
      <w:pPr>
        <w:spacing w:line="360" w:lineRule="auto"/>
        <w:ind w:left="720" w:hanging="720"/>
        <w:jc w:val="both"/>
        <w:rPr>
          <w:rFonts w:ascii="David" w:hAnsi="David"/>
          <w:rtl/>
        </w:rPr>
      </w:pPr>
      <w:r>
        <w:rPr>
          <w:rFonts w:ascii="David" w:hAnsi="David"/>
          <w:rtl/>
        </w:rPr>
        <w:t>38.</w:t>
      </w:r>
      <w:r>
        <w:rPr>
          <w:rFonts w:ascii="David" w:hAnsi="David"/>
          <w:rtl/>
        </w:rPr>
        <w:tab/>
        <w:t>במקרה דנן, לא נמצא שהמערער עמד בנטל להוכחת קיומו של חריג זה, קל וחומר לא עמד בנטל ההוכחה הכבד והמוגבר המוטל עליו על פי הפסיקה הענפה בסוגיה. המערער לא הוכיח כי נשקפת סכנה לקטינה בהחזרתה לגרמניה, ולא הציג כלל ראיות ולא כל שכן ראיות ברורות ומשכנעות לכך.</w:t>
      </w:r>
    </w:p>
    <w:p w:rsidR="00315F1C" w:rsidRDefault="00315F1C" w:rsidP="00475BC2">
      <w:pPr>
        <w:spacing w:line="360" w:lineRule="auto"/>
        <w:ind w:left="720" w:hanging="720"/>
        <w:jc w:val="both"/>
        <w:rPr>
          <w:rFonts w:ascii="David" w:hAnsi="David"/>
          <w:rtl/>
        </w:rPr>
      </w:pPr>
    </w:p>
    <w:p w:rsidR="00475BC2" w:rsidRDefault="00475BC2" w:rsidP="00475BC2">
      <w:pPr>
        <w:spacing w:line="360" w:lineRule="auto"/>
        <w:ind w:left="720" w:hanging="720"/>
        <w:jc w:val="both"/>
        <w:rPr>
          <w:rFonts w:ascii="David" w:hAnsi="David"/>
          <w:rtl/>
        </w:rPr>
      </w:pPr>
      <w:r>
        <w:rPr>
          <w:rFonts w:ascii="David" w:hAnsi="David"/>
          <w:rtl/>
        </w:rPr>
        <w:t>39.</w:t>
      </w:r>
      <w:r>
        <w:rPr>
          <w:rFonts w:ascii="David" w:hAnsi="David"/>
          <w:rtl/>
        </w:rPr>
        <w:tab/>
        <w:t xml:space="preserve">יתרה מזאת, על פי ההלכה, החריג מתייחס לנזק שייגרם לקטין כתוצאה מהחזרה למדינה שממנה הורחק, ולא כתוצאה מחזרתו להורה שממנו נחטף, או מניתוקו מההורה החוטף. לפיכך, טענות האב לעניין חוסר אחריות הורית של האם וכן לעניין ניתוק הקטינה מהאב אינן טענות הנוגעות למדינת המוצא ולכן אינן נכללות בגדר החריג, ודינן להתברר במסגרת הליך משמורת אשר יש לנקוט בו במדינת המוצא. </w:t>
      </w:r>
    </w:p>
    <w:p w:rsidR="00475BC2" w:rsidRDefault="00475BC2" w:rsidP="00475BC2">
      <w:pPr>
        <w:spacing w:line="360" w:lineRule="auto"/>
        <w:ind w:left="720" w:hanging="720"/>
        <w:jc w:val="both"/>
        <w:rPr>
          <w:rFonts w:ascii="David" w:hAnsi="David"/>
          <w:rtl/>
        </w:rPr>
      </w:pPr>
      <w:r>
        <w:rPr>
          <w:rFonts w:ascii="David" w:hAnsi="David"/>
          <w:rtl/>
        </w:rPr>
        <w:lastRenderedPageBreak/>
        <w:t>40.</w:t>
      </w:r>
      <w:r>
        <w:rPr>
          <w:rFonts w:ascii="David" w:hAnsi="David"/>
          <w:rtl/>
        </w:rPr>
        <w:tab/>
        <w:t xml:space="preserve">בית המשפט התרשם מהחומר שבתיק כמו גם מעדות המשיבה כי הקשר בין האם לקטינה הינו קשר טוב ועמוק, כפי שעלה אף מדברי האפוט' לדין בסיכומיה. </w:t>
      </w:r>
    </w:p>
    <w:p w:rsidR="00315F1C" w:rsidRDefault="00315F1C" w:rsidP="00475BC2">
      <w:pPr>
        <w:spacing w:line="360" w:lineRule="auto"/>
        <w:ind w:left="720" w:hanging="720"/>
        <w:jc w:val="both"/>
        <w:rPr>
          <w:rFonts w:ascii="David" w:hAnsi="David"/>
          <w:rtl/>
        </w:rPr>
      </w:pPr>
    </w:p>
    <w:p w:rsidR="00475BC2" w:rsidRDefault="00475BC2" w:rsidP="00475BC2">
      <w:pPr>
        <w:spacing w:line="360" w:lineRule="auto"/>
        <w:ind w:left="720" w:hanging="720"/>
        <w:jc w:val="both"/>
        <w:rPr>
          <w:rFonts w:ascii="David" w:hAnsi="David"/>
          <w:rtl/>
        </w:rPr>
      </w:pPr>
      <w:r>
        <w:rPr>
          <w:rFonts w:ascii="David" w:hAnsi="David"/>
          <w:rtl/>
        </w:rPr>
        <w:t>41.</w:t>
      </w:r>
      <w:r>
        <w:rPr>
          <w:rFonts w:ascii="David" w:hAnsi="David"/>
          <w:rtl/>
        </w:rPr>
        <w:tab/>
        <w:t xml:space="preserve">נוכח האמור, לא שוכנע ביהמ"ש קמא כי החזרת הקטינה לגרמניה תגרום לה נזק. </w:t>
      </w:r>
    </w:p>
    <w:p w:rsidR="00315F1C" w:rsidRDefault="00315F1C" w:rsidP="00475BC2">
      <w:pPr>
        <w:spacing w:line="360" w:lineRule="auto"/>
        <w:ind w:left="720" w:hanging="720"/>
        <w:jc w:val="both"/>
        <w:rPr>
          <w:rFonts w:ascii="David" w:hAnsi="David"/>
          <w:rtl/>
        </w:rPr>
      </w:pPr>
    </w:p>
    <w:p w:rsidR="00475BC2" w:rsidRDefault="00475BC2" w:rsidP="00082F61">
      <w:pPr>
        <w:spacing w:line="360" w:lineRule="auto"/>
        <w:ind w:left="720" w:hanging="720"/>
        <w:jc w:val="both"/>
        <w:rPr>
          <w:rFonts w:ascii="David" w:hAnsi="David"/>
          <w:rtl/>
        </w:rPr>
      </w:pPr>
      <w:r>
        <w:rPr>
          <w:rFonts w:ascii="David" w:hAnsi="David"/>
          <w:rtl/>
        </w:rPr>
        <w:t>42.</w:t>
      </w:r>
      <w:r>
        <w:rPr>
          <w:rFonts w:ascii="David" w:hAnsi="David"/>
          <w:rtl/>
        </w:rPr>
        <w:tab/>
        <w:t xml:space="preserve">בהקשר זה, לא נמצא ליתן משקל לתסקיר עו"ס מיום </w:t>
      </w:r>
      <w:r w:rsidR="00082F61">
        <w:rPr>
          <w:rFonts w:ascii="David" w:hAnsi="David" w:hint="cs"/>
          <w:rtl/>
        </w:rPr>
        <w:t>24.--.--</w:t>
      </w:r>
      <w:r>
        <w:rPr>
          <w:rFonts w:ascii="David" w:hAnsi="David"/>
          <w:rtl/>
        </w:rPr>
        <w:t xml:space="preserve">, אשר מפרט את עמדות הצדדים וכן דיווח אודות מצבה של הקטינה כיום. עמדת האפוט' לדין בסיכומי התשובה מטעמה התקבלה, לפיה אין בתסקיר כדי לשנות מהמסקנה כאמור בפסה"ד. מטעם זה, אין הצדקה להיעתר לבקשת המערער להורות על הגשת תסקיר משלים. בשולי הדברים יוער כי בקשת המערער הוגשה בשלב מאוחר מאד של ההליך, כאשר לא נמצאה מניעה להגישה בשלב מוקדם יותר (בשים לב לאופי ההליך ולסד הזמנים הקבוע בפרק ד' לתקנות בית המשפט לענייני משפחה). </w:t>
      </w:r>
    </w:p>
    <w:p w:rsidR="00315F1C" w:rsidRDefault="00315F1C" w:rsidP="00475BC2">
      <w:pPr>
        <w:spacing w:line="360" w:lineRule="auto"/>
        <w:ind w:left="720" w:hanging="720"/>
        <w:jc w:val="both"/>
        <w:rPr>
          <w:rFonts w:ascii="David" w:hAnsi="David"/>
          <w:rtl/>
        </w:rPr>
      </w:pPr>
    </w:p>
    <w:p w:rsidR="00475BC2" w:rsidRDefault="00475BC2" w:rsidP="00475BC2">
      <w:pPr>
        <w:spacing w:line="360" w:lineRule="auto"/>
        <w:ind w:left="720" w:hanging="720"/>
        <w:jc w:val="both"/>
        <w:rPr>
          <w:rFonts w:ascii="David" w:hAnsi="David"/>
          <w:rtl/>
        </w:rPr>
      </w:pPr>
      <w:r>
        <w:rPr>
          <w:rFonts w:ascii="David" w:hAnsi="David"/>
          <w:rtl/>
        </w:rPr>
        <w:t>43.</w:t>
      </w:r>
      <w:r>
        <w:rPr>
          <w:rFonts w:ascii="David" w:hAnsi="David"/>
          <w:rtl/>
        </w:rPr>
        <w:tab/>
        <w:t xml:space="preserve">העתירות הנוספות שעלו מבקשת המערער – נדחו. לעניין מתן זכות תגובה לבקשות המשיבה שהוגשו לאחר סיכומי התשובה, הרי שנקבע כי הכרעה בבקשות מתייתרת ועל כן, מטבע הדברים, גם מתייתר הצורך להגיב לבקשות אלו. כמו כן, לא נמצאה הצדקה להוצאת סיכומי התשובה של האפוט' לדין מהתיק בשל האיחור בהגשתם, זאת, לנוכח המתכונת הדיונית הגמישה הנוהגת בבתי המשפט לענייני משפחה. יתרה מכך, לא נמצאה כל הצדקה לפסול את האפוט' לדין. טענת המערער לפיה האפוט' לדין אינה מייצגת את טובת הקטינה – לא התקבלה. ההיפך הוא הנכון. בית המשפט התרשם כי האפוט' לדין ייצגה את טובת הקטינה באופן הראוי ביותר, והיא עשתה כן למן תחילת ההליך ועד סיומו במקצועיות, אובייקטיביות, ניטרליות, כמו גם ברגישות, והכל תוך התחשבות בגילה הרך של הקטינה. </w:t>
      </w:r>
    </w:p>
    <w:p w:rsidR="00AB4F1D" w:rsidRDefault="00AB4F1D" w:rsidP="00475BC2">
      <w:pPr>
        <w:spacing w:line="360" w:lineRule="auto"/>
        <w:ind w:left="720" w:hanging="720"/>
        <w:rPr>
          <w:rFonts w:ascii="David" w:hAnsi="David"/>
          <w:b/>
          <w:bCs/>
          <w:rtl/>
        </w:rPr>
      </w:pPr>
    </w:p>
    <w:p w:rsidR="002126FC" w:rsidRDefault="002126FC" w:rsidP="00475BC2">
      <w:pPr>
        <w:spacing w:line="360" w:lineRule="auto"/>
        <w:ind w:left="720" w:hanging="720"/>
        <w:rPr>
          <w:rFonts w:ascii="David" w:hAnsi="David"/>
          <w:b/>
          <w:bCs/>
          <w:rtl/>
        </w:rPr>
      </w:pPr>
    </w:p>
    <w:p w:rsidR="00475BC2" w:rsidRDefault="00475BC2" w:rsidP="00475BC2">
      <w:pPr>
        <w:spacing w:line="360" w:lineRule="auto"/>
        <w:ind w:left="720" w:hanging="720"/>
        <w:rPr>
          <w:rFonts w:ascii="David" w:hAnsi="David"/>
          <w:rtl/>
        </w:rPr>
      </w:pPr>
      <w:r>
        <w:rPr>
          <w:rFonts w:ascii="David" w:hAnsi="David"/>
          <w:b/>
          <w:bCs/>
          <w:rtl/>
        </w:rPr>
        <w:t xml:space="preserve">התייחסות לעדויות וראיות נוספות מטעם המערער – </w:t>
      </w:r>
    </w:p>
    <w:p w:rsidR="00AA7442" w:rsidRDefault="00AA7442" w:rsidP="00475BC2">
      <w:pPr>
        <w:spacing w:line="360" w:lineRule="auto"/>
        <w:ind w:left="720" w:hanging="720"/>
        <w:rPr>
          <w:rFonts w:ascii="David" w:hAnsi="David"/>
          <w:rtl/>
        </w:rPr>
      </w:pPr>
    </w:p>
    <w:p w:rsidR="00475BC2" w:rsidRDefault="00475BC2" w:rsidP="00475BC2">
      <w:pPr>
        <w:spacing w:line="360" w:lineRule="auto"/>
        <w:ind w:left="720" w:hanging="720"/>
        <w:jc w:val="both"/>
        <w:rPr>
          <w:rFonts w:ascii="David" w:hAnsi="David"/>
          <w:rtl/>
        </w:rPr>
      </w:pPr>
      <w:r>
        <w:rPr>
          <w:rFonts w:ascii="David" w:hAnsi="David"/>
          <w:rtl/>
        </w:rPr>
        <w:t>44.</w:t>
      </w:r>
      <w:r>
        <w:rPr>
          <w:rFonts w:ascii="David" w:hAnsi="David"/>
          <w:rtl/>
        </w:rPr>
        <w:tab/>
        <w:t xml:space="preserve">לעניין החלטת הביניים שניתנה בבית המשפט בגרמניה מיום 17.1.24 שצורפה לסיכומי המערער – אין ליתן לה כל משקל במסגרת ההליך דנן. טענות המשיבה בעניין זה התקבלו, לפיהן אין מדובר בפסק דין כי אם מדובר בהחלטת ביניים שניתנה בהעדר הצדדים ובהעדר תגובת המערער, מבלי שהתקיים דיון, ומבלי שנבחנו הסוגיות הרלבנטיות באופן מעמיק, כפי שהן נבחנו במסגרת ההליך קמא. בנסיבות אלו, לא נמצא להעניק להחלטה זו כל משקל. </w:t>
      </w:r>
    </w:p>
    <w:p w:rsidR="00AB4F1D" w:rsidRDefault="00AB4F1D" w:rsidP="00475BC2">
      <w:pPr>
        <w:spacing w:line="360" w:lineRule="auto"/>
        <w:ind w:left="720" w:hanging="720"/>
        <w:jc w:val="both"/>
        <w:rPr>
          <w:rFonts w:ascii="David" w:hAnsi="David"/>
          <w:rtl/>
        </w:rPr>
      </w:pPr>
    </w:p>
    <w:p w:rsidR="00475BC2" w:rsidRDefault="00475BC2" w:rsidP="00475BC2">
      <w:pPr>
        <w:spacing w:line="360" w:lineRule="auto"/>
        <w:ind w:left="720" w:hanging="720"/>
        <w:jc w:val="both"/>
        <w:rPr>
          <w:rFonts w:ascii="David" w:hAnsi="David"/>
          <w:rtl/>
        </w:rPr>
      </w:pPr>
      <w:r>
        <w:rPr>
          <w:rFonts w:ascii="David" w:hAnsi="David"/>
          <w:rtl/>
        </w:rPr>
        <w:lastRenderedPageBreak/>
        <w:t>45.</w:t>
      </w:r>
      <w:r>
        <w:rPr>
          <w:rFonts w:ascii="David" w:hAnsi="David"/>
          <w:rtl/>
        </w:rPr>
        <w:tab/>
        <w:t xml:space="preserve">לעניין הדיסק און קי שהגיש המערער - אין רלבנטיות לשאלה האם המשיבה והקטינה התגוררו בעת ביקור בישראל בבית הורי המערער או בדירה נפרדת, כאשר הוכח כי המערער הציג בפני המשיבה (ומשפחת המוצא שלה) מצג לפיו מקום המגורים של המשפחה הינו בגרמניה. בנסיבות אלו, לא נמצא רלבנטיות לסרטון שהציג המערער לצורך הכרעה בסוגיה שבמחלוקת. הוא הדין לעניין ההקלטות של השיחות שהתנהלו בין הצדדים במהלך חודש 3/24. הקלטות אלו אינן רלבנטיות לצורך הכרעה בסוגיות המשפטיות והעובדתיות שבמחלוקת במקרה דנן. אי לכך, אין ליתן כל משקל לדיסק און קי שהוגש. </w:t>
      </w:r>
    </w:p>
    <w:p w:rsidR="00AB4F1D" w:rsidRDefault="00AB4F1D" w:rsidP="00475BC2">
      <w:pPr>
        <w:spacing w:line="360" w:lineRule="auto"/>
        <w:ind w:left="720" w:hanging="720"/>
        <w:jc w:val="both"/>
        <w:rPr>
          <w:rFonts w:ascii="David" w:hAnsi="David"/>
          <w:rtl/>
        </w:rPr>
      </w:pPr>
    </w:p>
    <w:p w:rsidR="00475BC2" w:rsidRDefault="00475BC2" w:rsidP="00475BC2">
      <w:pPr>
        <w:spacing w:line="360" w:lineRule="auto"/>
        <w:ind w:left="720" w:hanging="720"/>
        <w:jc w:val="both"/>
        <w:rPr>
          <w:rFonts w:ascii="David" w:hAnsi="David"/>
          <w:rtl/>
        </w:rPr>
      </w:pPr>
      <w:r>
        <w:rPr>
          <w:rFonts w:ascii="David" w:hAnsi="David"/>
          <w:rtl/>
        </w:rPr>
        <w:t>46.</w:t>
      </w:r>
      <w:r>
        <w:rPr>
          <w:rFonts w:ascii="David" w:hAnsi="David"/>
          <w:rtl/>
        </w:rPr>
        <w:tab/>
        <w:t>לעניין טופס התביעה מהמל"ל לקבלת קצבה עבור הקטינה - הטופס אינו חתום על ידי המשיבה, ופרטי חשבון הבנק המופעים בטופס הינם של המערער. כמו כן, לא הוגשה אסמכתא מן המל"ל בדבר קבלת הטופס.</w:t>
      </w:r>
    </w:p>
    <w:p w:rsidR="00AB4F1D" w:rsidRDefault="00AB4F1D" w:rsidP="00475BC2">
      <w:pPr>
        <w:spacing w:line="360" w:lineRule="auto"/>
        <w:ind w:left="720" w:hanging="720"/>
        <w:jc w:val="both"/>
        <w:rPr>
          <w:rFonts w:ascii="David" w:hAnsi="David"/>
          <w:rtl/>
        </w:rPr>
      </w:pPr>
    </w:p>
    <w:p w:rsidR="00AB4F1D" w:rsidRDefault="00475BC2" w:rsidP="00475BC2">
      <w:pPr>
        <w:spacing w:line="360" w:lineRule="auto"/>
        <w:ind w:left="720" w:hanging="720"/>
        <w:jc w:val="both"/>
        <w:rPr>
          <w:rFonts w:ascii="David" w:hAnsi="David"/>
          <w:rtl/>
        </w:rPr>
      </w:pPr>
      <w:r>
        <w:rPr>
          <w:rFonts w:ascii="David" w:hAnsi="David"/>
          <w:rtl/>
        </w:rPr>
        <w:t>47.</w:t>
      </w:r>
      <w:r>
        <w:rPr>
          <w:rFonts w:ascii="David" w:hAnsi="David"/>
          <w:rtl/>
        </w:rPr>
        <w:tab/>
        <w:t xml:space="preserve">לעניין העדים הנוספים מטעם המערער - לא נמצא כי יש בעדויותיהם כדי לשנות מהתוצאה המשפטית כאמור לעיל </w:t>
      </w:r>
      <w:r w:rsidR="00AB4F1D">
        <w:rPr>
          <w:rFonts w:ascii="David" w:hAnsi="David"/>
          <w:rtl/>
        </w:rPr>
        <w:t>–</w:t>
      </w:r>
    </w:p>
    <w:p w:rsidR="00475BC2" w:rsidRDefault="00475BC2" w:rsidP="00475BC2">
      <w:pPr>
        <w:spacing w:line="360" w:lineRule="auto"/>
        <w:ind w:left="720" w:hanging="720"/>
        <w:jc w:val="both"/>
        <w:rPr>
          <w:rFonts w:ascii="David" w:hAnsi="David"/>
          <w:rtl/>
        </w:rPr>
      </w:pPr>
      <w:r>
        <w:rPr>
          <w:rFonts w:ascii="David" w:hAnsi="David"/>
          <w:rtl/>
        </w:rPr>
        <w:t xml:space="preserve"> </w:t>
      </w:r>
    </w:p>
    <w:p w:rsidR="00AB4F1D" w:rsidRDefault="00475BC2" w:rsidP="00082F61">
      <w:pPr>
        <w:spacing w:line="360" w:lineRule="auto"/>
        <w:ind w:left="1440" w:hanging="720"/>
        <w:jc w:val="both"/>
        <w:rPr>
          <w:rFonts w:ascii="David" w:hAnsi="David"/>
          <w:rtl/>
        </w:rPr>
      </w:pPr>
      <w:r>
        <w:rPr>
          <w:rFonts w:ascii="David" w:hAnsi="David"/>
          <w:rtl/>
        </w:rPr>
        <w:t>א.</w:t>
      </w:r>
      <w:r>
        <w:rPr>
          <w:rFonts w:ascii="David" w:hAnsi="David"/>
          <w:rtl/>
        </w:rPr>
        <w:tab/>
        <w:t xml:space="preserve">מר </w:t>
      </w:r>
      <w:r w:rsidR="00082F61">
        <w:rPr>
          <w:rFonts w:ascii="David" w:hAnsi="David" w:hint="cs"/>
          <w:rtl/>
        </w:rPr>
        <w:t xml:space="preserve">------- </w:t>
      </w:r>
      <w:r>
        <w:rPr>
          <w:rFonts w:ascii="David" w:hAnsi="David"/>
          <w:rtl/>
        </w:rPr>
        <w:t>- שינה גרסתו בחקירה החוזרת. תחילה טען כי לא ראה את המשיבה בהיריון ולא בחגים ובהמשך חקירתו טען כי: "היא כל הזמן הייתה ב</w:t>
      </w:r>
      <w:r w:rsidR="00082F61">
        <w:rPr>
          <w:rFonts w:ascii="David" w:hAnsi="David" w:hint="cs"/>
          <w:rtl/>
        </w:rPr>
        <w:t xml:space="preserve">------- </w:t>
      </w:r>
      <w:r>
        <w:rPr>
          <w:rFonts w:ascii="David" w:hAnsi="David"/>
          <w:rtl/>
        </w:rPr>
        <w:t>מולי" . לפיכך, לא ניתן משקל לעדותו.</w:t>
      </w:r>
    </w:p>
    <w:p w:rsidR="00475BC2" w:rsidRDefault="00475BC2" w:rsidP="00475BC2">
      <w:pPr>
        <w:spacing w:line="360" w:lineRule="auto"/>
        <w:ind w:left="1440" w:hanging="720"/>
        <w:jc w:val="both"/>
        <w:rPr>
          <w:rFonts w:ascii="David" w:hAnsi="David"/>
          <w:rtl/>
        </w:rPr>
      </w:pPr>
      <w:r>
        <w:rPr>
          <w:rFonts w:ascii="David" w:hAnsi="David"/>
          <w:rtl/>
        </w:rPr>
        <w:t xml:space="preserve"> </w:t>
      </w:r>
    </w:p>
    <w:p w:rsidR="00475BC2" w:rsidRDefault="00475BC2" w:rsidP="00082F61">
      <w:pPr>
        <w:spacing w:line="360" w:lineRule="auto"/>
        <w:ind w:left="1440" w:hanging="720"/>
        <w:jc w:val="both"/>
        <w:rPr>
          <w:rFonts w:ascii="David" w:hAnsi="David"/>
          <w:rtl/>
        </w:rPr>
      </w:pPr>
      <w:r>
        <w:rPr>
          <w:rFonts w:ascii="David" w:hAnsi="David"/>
          <w:rtl/>
        </w:rPr>
        <w:t>ב.</w:t>
      </w:r>
      <w:r>
        <w:rPr>
          <w:rFonts w:ascii="David" w:hAnsi="David"/>
          <w:rtl/>
        </w:rPr>
        <w:tab/>
        <w:t xml:space="preserve">מר </w:t>
      </w:r>
      <w:r w:rsidR="00082F61">
        <w:rPr>
          <w:rFonts w:ascii="David" w:hAnsi="David" w:hint="cs"/>
          <w:rtl/>
        </w:rPr>
        <w:t xml:space="preserve">---------- </w:t>
      </w:r>
      <w:r>
        <w:rPr>
          <w:rFonts w:ascii="David" w:hAnsi="David"/>
          <w:rtl/>
        </w:rPr>
        <w:t>- כלל לא ידע כי הצדדים התחתנו בברלין,על כן, אין להעניק משקל לעדותו.</w:t>
      </w:r>
    </w:p>
    <w:p w:rsidR="00AB4F1D" w:rsidRDefault="00AB4F1D" w:rsidP="00475BC2">
      <w:pPr>
        <w:spacing w:line="360" w:lineRule="auto"/>
        <w:ind w:left="1440" w:hanging="720"/>
        <w:jc w:val="both"/>
        <w:rPr>
          <w:rFonts w:ascii="David" w:hAnsi="David"/>
          <w:rtl/>
        </w:rPr>
      </w:pPr>
    </w:p>
    <w:p w:rsidR="00475BC2" w:rsidRDefault="00475BC2" w:rsidP="00082F61">
      <w:pPr>
        <w:spacing w:line="360" w:lineRule="auto"/>
        <w:ind w:left="1440" w:hanging="720"/>
        <w:jc w:val="both"/>
        <w:rPr>
          <w:rFonts w:ascii="David" w:hAnsi="David"/>
          <w:rtl/>
        </w:rPr>
      </w:pPr>
      <w:r>
        <w:rPr>
          <w:rFonts w:ascii="David" w:hAnsi="David"/>
          <w:rtl/>
        </w:rPr>
        <w:t>ג.</w:t>
      </w:r>
      <w:r>
        <w:rPr>
          <w:rFonts w:ascii="David" w:hAnsi="David"/>
          <w:rtl/>
        </w:rPr>
        <w:tab/>
        <w:t xml:space="preserve">מר </w:t>
      </w:r>
      <w:r w:rsidR="00082F61">
        <w:rPr>
          <w:rFonts w:ascii="David" w:hAnsi="David" w:hint="cs"/>
          <w:rtl/>
        </w:rPr>
        <w:t xml:space="preserve">------- </w:t>
      </w:r>
      <w:r>
        <w:rPr>
          <w:rFonts w:ascii="David" w:hAnsi="David"/>
          <w:rtl/>
        </w:rPr>
        <w:t xml:space="preserve">- העד חתם גם על תצהיר לטובת המשיבה וגם על תצהיר לטובת המערער. כמו כן, העד העיד לגבי עצמו כי: "אני לא בתמונה". בנסיבות אלו, אין משקל לעדותו. </w:t>
      </w:r>
    </w:p>
    <w:p w:rsidR="00630E23" w:rsidRDefault="00630E23" w:rsidP="00475BC2">
      <w:pPr>
        <w:spacing w:line="360" w:lineRule="auto"/>
        <w:ind w:left="1440" w:hanging="720"/>
        <w:jc w:val="both"/>
        <w:rPr>
          <w:rFonts w:ascii="David" w:hAnsi="David"/>
          <w:rtl/>
        </w:rPr>
      </w:pPr>
    </w:p>
    <w:p w:rsidR="00475BC2" w:rsidRDefault="00475BC2" w:rsidP="00082F61">
      <w:pPr>
        <w:spacing w:line="360" w:lineRule="auto"/>
        <w:ind w:left="1440" w:hanging="720"/>
        <w:jc w:val="both"/>
        <w:rPr>
          <w:rFonts w:ascii="David" w:hAnsi="David"/>
          <w:rtl/>
        </w:rPr>
      </w:pPr>
      <w:r>
        <w:rPr>
          <w:rFonts w:ascii="David" w:hAnsi="David"/>
          <w:rtl/>
        </w:rPr>
        <w:t>ד.</w:t>
      </w:r>
      <w:r>
        <w:rPr>
          <w:rFonts w:ascii="David" w:hAnsi="David"/>
          <w:rtl/>
        </w:rPr>
        <w:tab/>
        <w:t xml:space="preserve">הגב' </w:t>
      </w:r>
      <w:r w:rsidR="00082F61">
        <w:rPr>
          <w:rFonts w:ascii="David" w:hAnsi="David" w:hint="cs"/>
          <w:rtl/>
        </w:rPr>
        <w:t xml:space="preserve">-------- </w:t>
      </w:r>
      <w:r>
        <w:rPr>
          <w:rFonts w:ascii="David" w:hAnsi="David"/>
          <w:rtl/>
        </w:rPr>
        <w:t xml:space="preserve">- העידה כי היא והמשיבה "חברות טובות", אולם לא ידעה מתי חל יום הולדתה של המשיבה, ואף לא ידעה להשיב בת כמה המשיבה, באיזה חודש היא עזבה את ישראל, ובת כמה הקטינה. אי לכך, לא ניתן משקל לעדותה. </w:t>
      </w:r>
    </w:p>
    <w:p w:rsidR="00630E23" w:rsidRDefault="00630E23" w:rsidP="00475BC2">
      <w:pPr>
        <w:spacing w:line="360" w:lineRule="auto"/>
        <w:ind w:left="1440" w:hanging="720"/>
        <w:jc w:val="both"/>
        <w:rPr>
          <w:rFonts w:ascii="David" w:hAnsi="David"/>
          <w:rtl/>
        </w:rPr>
      </w:pPr>
    </w:p>
    <w:p w:rsidR="00475BC2" w:rsidRDefault="00475BC2" w:rsidP="00082F61">
      <w:pPr>
        <w:spacing w:line="360" w:lineRule="auto"/>
        <w:ind w:left="1440" w:hanging="720"/>
        <w:jc w:val="both"/>
        <w:rPr>
          <w:rFonts w:ascii="David" w:hAnsi="David"/>
          <w:rtl/>
        </w:rPr>
      </w:pPr>
      <w:r>
        <w:rPr>
          <w:rFonts w:ascii="David" w:hAnsi="David"/>
          <w:rtl/>
        </w:rPr>
        <w:t>ה.</w:t>
      </w:r>
      <w:r>
        <w:rPr>
          <w:rFonts w:ascii="David" w:hAnsi="David"/>
          <w:rtl/>
        </w:rPr>
        <w:tab/>
        <w:t xml:space="preserve">מר </w:t>
      </w:r>
      <w:r w:rsidR="00082F61">
        <w:rPr>
          <w:rFonts w:ascii="David" w:hAnsi="David" w:hint="cs"/>
          <w:rtl/>
        </w:rPr>
        <w:t xml:space="preserve">----------- </w:t>
      </w:r>
      <w:r>
        <w:rPr>
          <w:rFonts w:ascii="David" w:hAnsi="David"/>
          <w:rtl/>
        </w:rPr>
        <w:t>- תחילה העיד כי חתם על התצהיר בביתו, ולאחר מכן שינה גרסתו בחקירה חוזרת והעיד כי חתם על התצהיר במשרד עו"ד. בנסיבות אלו, אין משקל לעדותו.</w:t>
      </w:r>
    </w:p>
    <w:p w:rsidR="00AB4F1D" w:rsidRDefault="00AB4F1D" w:rsidP="00475BC2">
      <w:pPr>
        <w:spacing w:line="360" w:lineRule="auto"/>
        <w:ind w:left="1440" w:hanging="720"/>
        <w:jc w:val="both"/>
        <w:rPr>
          <w:rFonts w:ascii="David" w:hAnsi="David"/>
          <w:rtl/>
        </w:rPr>
      </w:pPr>
    </w:p>
    <w:p w:rsidR="00630E23" w:rsidRDefault="00630E23" w:rsidP="00475BC2">
      <w:pPr>
        <w:spacing w:line="360" w:lineRule="auto"/>
        <w:ind w:left="1440" w:hanging="720"/>
        <w:jc w:val="both"/>
        <w:rPr>
          <w:rFonts w:ascii="David" w:hAnsi="David"/>
          <w:rtl/>
        </w:rPr>
      </w:pPr>
    </w:p>
    <w:p w:rsidR="00475BC2" w:rsidRDefault="00475BC2" w:rsidP="00475BC2">
      <w:pPr>
        <w:spacing w:line="360" w:lineRule="auto"/>
        <w:ind w:left="720" w:hanging="720"/>
        <w:rPr>
          <w:rFonts w:ascii="David" w:hAnsi="David"/>
          <w:b/>
          <w:bCs/>
          <w:rtl/>
        </w:rPr>
      </w:pPr>
      <w:r>
        <w:rPr>
          <w:rFonts w:ascii="David" w:hAnsi="David"/>
          <w:b/>
          <w:bCs/>
          <w:rtl/>
        </w:rPr>
        <w:lastRenderedPageBreak/>
        <w:t>סיכומו של עניין:</w:t>
      </w:r>
    </w:p>
    <w:p w:rsidR="00AB4F1D" w:rsidRDefault="00AB4F1D" w:rsidP="00475BC2">
      <w:pPr>
        <w:spacing w:line="360" w:lineRule="auto"/>
        <w:ind w:left="720" w:hanging="720"/>
        <w:rPr>
          <w:rFonts w:ascii="David" w:hAnsi="David"/>
          <w:b/>
          <w:bCs/>
          <w:rtl/>
        </w:rPr>
      </w:pPr>
    </w:p>
    <w:p w:rsidR="00475BC2" w:rsidRDefault="00475BC2" w:rsidP="00475BC2">
      <w:pPr>
        <w:spacing w:line="360" w:lineRule="auto"/>
        <w:ind w:left="720" w:hanging="720"/>
        <w:jc w:val="both"/>
        <w:rPr>
          <w:rFonts w:ascii="David" w:hAnsi="David"/>
          <w:rtl/>
        </w:rPr>
      </w:pPr>
      <w:r>
        <w:rPr>
          <w:rFonts w:ascii="David" w:hAnsi="David"/>
          <w:rtl/>
        </w:rPr>
        <w:t>48.</w:t>
      </w:r>
      <w:r>
        <w:rPr>
          <w:rFonts w:ascii="David" w:hAnsi="David"/>
          <w:rtl/>
        </w:rPr>
        <w:tab/>
        <w:t>לנוכח כל המפורט לעיל, משנקבע כי הותרת הקטינה בישראל לא הייתה מוסכמת על האם, היא נעשתה שלא כדין, ועל כן אי החזרת הקטינה מישראל לגרמניה הינה בגדר חטיפה. כאמור, חריג הנזק הנטען אינו מתקיים, ולפיכך, דין התביעה להתקבל.</w:t>
      </w:r>
    </w:p>
    <w:p w:rsidR="00AB4F1D" w:rsidRDefault="00AB4F1D" w:rsidP="00475BC2">
      <w:pPr>
        <w:spacing w:line="360" w:lineRule="auto"/>
        <w:ind w:left="720" w:hanging="720"/>
        <w:jc w:val="both"/>
        <w:rPr>
          <w:rFonts w:ascii="David" w:hAnsi="David"/>
          <w:rtl/>
        </w:rPr>
      </w:pPr>
    </w:p>
    <w:p w:rsidR="00475BC2" w:rsidRDefault="00475BC2" w:rsidP="00475BC2">
      <w:pPr>
        <w:spacing w:line="360" w:lineRule="auto"/>
        <w:ind w:left="720" w:hanging="720"/>
        <w:jc w:val="both"/>
        <w:rPr>
          <w:rFonts w:ascii="David" w:hAnsi="David"/>
          <w:rtl/>
        </w:rPr>
      </w:pPr>
      <w:r>
        <w:rPr>
          <w:rFonts w:ascii="David" w:hAnsi="David"/>
          <w:rtl/>
        </w:rPr>
        <w:t>49.</w:t>
      </w:r>
      <w:r>
        <w:rPr>
          <w:rFonts w:ascii="David" w:hAnsi="David"/>
          <w:rtl/>
        </w:rPr>
        <w:tab/>
        <w:t xml:space="preserve">לאור התקיימות תנאי אמנת האג, הורה ביהמ"ש קמא על החזרת הקטינה לגרמניה תוך 10 ימים. </w:t>
      </w:r>
    </w:p>
    <w:p w:rsidR="00AB4F1D" w:rsidRDefault="00AB4F1D" w:rsidP="00475BC2">
      <w:pPr>
        <w:spacing w:line="360" w:lineRule="auto"/>
        <w:ind w:left="720" w:hanging="720"/>
        <w:jc w:val="both"/>
        <w:rPr>
          <w:rFonts w:ascii="David" w:hAnsi="David"/>
          <w:rtl/>
        </w:rPr>
      </w:pPr>
    </w:p>
    <w:p w:rsidR="00475BC2" w:rsidRDefault="00475BC2" w:rsidP="00475BC2">
      <w:pPr>
        <w:spacing w:line="360" w:lineRule="auto"/>
        <w:ind w:left="720" w:hanging="720"/>
        <w:jc w:val="both"/>
        <w:rPr>
          <w:rFonts w:ascii="David" w:hAnsi="David"/>
          <w:rtl/>
        </w:rPr>
      </w:pPr>
      <w:r>
        <w:rPr>
          <w:rFonts w:ascii="David" w:hAnsi="David"/>
          <w:rtl/>
        </w:rPr>
        <w:t>50.</w:t>
      </w:r>
      <w:r>
        <w:rPr>
          <w:rFonts w:ascii="David" w:hAnsi="David"/>
          <w:rtl/>
        </w:rPr>
        <w:tab/>
        <w:t xml:space="preserve">המערער חויב בתשלום הוצאות משפט ושכ"ט עו"ד בסך של 35,000 ₪. </w:t>
      </w:r>
    </w:p>
    <w:p w:rsidR="00AB4F1D" w:rsidRDefault="00AB4F1D" w:rsidP="00475BC2">
      <w:pPr>
        <w:spacing w:line="360" w:lineRule="auto"/>
        <w:ind w:left="720" w:hanging="720"/>
        <w:jc w:val="both"/>
        <w:rPr>
          <w:rFonts w:ascii="David" w:hAnsi="David"/>
          <w:rtl/>
        </w:rPr>
      </w:pPr>
    </w:p>
    <w:p w:rsidR="00475BC2" w:rsidRDefault="00475BC2" w:rsidP="00475BC2">
      <w:pPr>
        <w:spacing w:line="360" w:lineRule="auto"/>
        <w:ind w:left="720" w:hanging="720"/>
        <w:rPr>
          <w:rFonts w:ascii="David" w:hAnsi="David"/>
          <w:b/>
          <w:bCs/>
          <w:rtl/>
        </w:rPr>
      </w:pPr>
      <w:r>
        <w:rPr>
          <w:rFonts w:ascii="David" w:hAnsi="David"/>
          <w:b/>
          <w:bCs/>
          <w:rtl/>
        </w:rPr>
        <w:t xml:space="preserve">טענות המערער – </w:t>
      </w:r>
    </w:p>
    <w:p w:rsidR="00AB4F1D" w:rsidRDefault="00AB4F1D" w:rsidP="00475BC2">
      <w:pPr>
        <w:spacing w:line="360" w:lineRule="auto"/>
        <w:ind w:left="720" w:hanging="720"/>
        <w:rPr>
          <w:rFonts w:ascii="David" w:hAnsi="David"/>
          <w:b/>
          <w:bCs/>
          <w:rtl/>
        </w:rPr>
      </w:pPr>
    </w:p>
    <w:p w:rsidR="00475BC2" w:rsidRDefault="00475BC2" w:rsidP="00475BC2">
      <w:pPr>
        <w:spacing w:line="360" w:lineRule="auto"/>
        <w:ind w:left="720" w:hanging="720"/>
        <w:jc w:val="both"/>
        <w:rPr>
          <w:rFonts w:ascii="David" w:hAnsi="David"/>
          <w:rtl/>
        </w:rPr>
      </w:pPr>
      <w:r>
        <w:rPr>
          <w:rFonts w:ascii="David" w:hAnsi="David"/>
          <w:rtl/>
        </w:rPr>
        <w:t>51.</w:t>
      </w:r>
      <w:r>
        <w:rPr>
          <w:rFonts w:ascii="David" w:hAnsi="David"/>
          <w:rtl/>
        </w:rPr>
        <w:tab/>
        <w:t xml:space="preserve">המערער לא כלא את המשיבה והקטינה, כטענתה, בביתו, והיא בילתה במקומות רבים והועמד לרשותה רכב של המערער ששימש אותה לצרכיה האישיים. טענת המשיבה כי המערער כלא אותה לתקופה ממושכת אינה מתיישבת עם העובדה כי עזבה את הארץ לגרמניה, בהסכמתו, בחודשי הריון מתקדמים. </w:t>
      </w:r>
    </w:p>
    <w:p w:rsidR="00AB4F1D" w:rsidRDefault="00AB4F1D" w:rsidP="00475BC2">
      <w:pPr>
        <w:spacing w:line="360" w:lineRule="auto"/>
        <w:ind w:left="720" w:hanging="720"/>
        <w:jc w:val="both"/>
        <w:rPr>
          <w:rFonts w:ascii="David" w:hAnsi="David"/>
          <w:rtl/>
        </w:rPr>
      </w:pPr>
    </w:p>
    <w:p w:rsidR="00475BC2" w:rsidRDefault="00475BC2" w:rsidP="00475BC2">
      <w:pPr>
        <w:spacing w:line="360" w:lineRule="auto"/>
        <w:ind w:left="720" w:hanging="720"/>
        <w:jc w:val="both"/>
        <w:rPr>
          <w:rFonts w:ascii="David" w:hAnsi="David"/>
          <w:rtl/>
        </w:rPr>
      </w:pPr>
      <w:r>
        <w:rPr>
          <w:rFonts w:ascii="David" w:hAnsi="David"/>
          <w:rtl/>
        </w:rPr>
        <w:t>52.</w:t>
      </w:r>
      <w:r>
        <w:rPr>
          <w:rFonts w:ascii="David" w:hAnsi="David"/>
          <w:rtl/>
        </w:rPr>
        <w:tab/>
        <w:t xml:space="preserve">המערער התיר לידת בנו בגרמניה, כפי שהתיר לידת בתו בגרמניה, מתוך הבנה וידיעה כי הדבר לטובת ילדיו. המערער פספס את לידת בנו בעל כורחו, מאחר והמשיבה הגישה נגדו תלונה בגרמניה. </w:t>
      </w:r>
    </w:p>
    <w:p w:rsidR="00AB4F1D" w:rsidRDefault="00AB4F1D" w:rsidP="00475BC2">
      <w:pPr>
        <w:spacing w:line="360" w:lineRule="auto"/>
        <w:ind w:left="720" w:hanging="720"/>
        <w:jc w:val="both"/>
        <w:rPr>
          <w:rFonts w:ascii="David" w:hAnsi="David"/>
          <w:rtl/>
        </w:rPr>
      </w:pPr>
    </w:p>
    <w:p w:rsidR="00475BC2" w:rsidRDefault="00475BC2" w:rsidP="00475BC2">
      <w:pPr>
        <w:spacing w:line="360" w:lineRule="auto"/>
        <w:ind w:left="720" w:hanging="720"/>
        <w:jc w:val="both"/>
        <w:rPr>
          <w:rFonts w:ascii="David" w:hAnsi="David"/>
          <w:rtl/>
        </w:rPr>
      </w:pPr>
      <w:r>
        <w:rPr>
          <w:rFonts w:ascii="David" w:hAnsi="David"/>
          <w:rtl/>
        </w:rPr>
        <w:t>53.</w:t>
      </w:r>
      <w:r>
        <w:rPr>
          <w:rFonts w:ascii="David" w:hAnsi="David"/>
          <w:rtl/>
        </w:rPr>
        <w:tab/>
        <w:t xml:space="preserve">בני הזוג גרו בישראל משך שנה וחצי לסירוגין, וביום בהיר אחד החליטה המשיבה לנסוע לגרמניה מבלי שהודיעה למערער, שגילה את עזיבתה מקרובי משפחה. </w:t>
      </w:r>
    </w:p>
    <w:p w:rsidR="00AB4F1D" w:rsidRDefault="00AB4F1D" w:rsidP="00475BC2">
      <w:pPr>
        <w:spacing w:line="360" w:lineRule="auto"/>
        <w:ind w:left="720" w:hanging="720"/>
        <w:jc w:val="both"/>
        <w:rPr>
          <w:rFonts w:ascii="David" w:hAnsi="David"/>
          <w:rtl/>
        </w:rPr>
      </w:pPr>
    </w:p>
    <w:p w:rsidR="00475BC2" w:rsidRDefault="00475BC2" w:rsidP="00475BC2">
      <w:pPr>
        <w:spacing w:line="360" w:lineRule="auto"/>
        <w:ind w:left="720" w:hanging="720"/>
        <w:jc w:val="both"/>
        <w:rPr>
          <w:rFonts w:ascii="David" w:hAnsi="David"/>
          <w:rtl/>
        </w:rPr>
      </w:pPr>
      <w:r>
        <w:rPr>
          <w:rFonts w:ascii="David" w:hAnsi="David"/>
          <w:rtl/>
        </w:rPr>
        <w:t>54.</w:t>
      </w:r>
      <w:r>
        <w:rPr>
          <w:rFonts w:ascii="David" w:hAnsi="David"/>
          <w:rtl/>
        </w:rPr>
        <w:tab/>
        <w:t xml:space="preserve">תביעת המשיבה תוכננה על מנת שייווצר מצב שתעזוב את הארץ ותביא להחזרת הקטינה לגרמניה בטענת חטיפה, דבר שמעולם לא היה. </w:t>
      </w:r>
    </w:p>
    <w:p w:rsidR="00630E23" w:rsidRDefault="00630E23" w:rsidP="00475BC2">
      <w:pPr>
        <w:spacing w:line="360" w:lineRule="auto"/>
        <w:ind w:left="720" w:hanging="720"/>
        <w:jc w:val="both"/>
        <w:rPr>
          <w:rFonts w:ascii="David" w:hAnsi="David"/>
          <w:rtl/>
        </w:rPr>
      </w:pPr>
    </w:p>
    <w:p w:rsidR="00475BC2" w:rsidRDefault="00475BC2" w:rsidP="00475BC2">
      <w:pPr>
        <w:spacing w:line="360" w:lineRule="auto"/>
        <w:ind w:left="720" w:hanging="720"/>
        <w:jc w:val="both"/>
        <w:rPr>
          <w:rFonts w:ascii="David" w:hAnsi="David"/>
          <w:rtl/>
        </w:rPr>
      </w:pPr>
      <w:r>
        <w:rPr>
          <w:rFonts w:ascii="David" w:hAnsi="David"/>
          <w:rtl/>
        </w:rPr>
        <w:t>55.</w:t>
      </w:r>
      <w:r>
        <w:rPr>
          <w:rFonts w:ascii="David" w:hAnsi="David"/>
          <w:rtl/>
        </w:rPr>
        <w:tab/>
        <w:t xml:space="preserve">התקופה בה שהו בני הזוג בישראל ארוכה יותר מהתקופה בה שהו בגרמניה. ביהמ"ש קמא התעלם מדו"ח כניסות ויציאות מהארץ וקבע כי מרכז חיי הקטינה בגרמניה. </w:t>
      </w:r>
    </w:p>
    <w:p w:rsidR="00543EFF" w:rsidRDefault="00543EFF" w:rsidP="00475BC2">
      <w:pPr>
        <w:spacing w:line="360" w:lineRule="auto"/>
        <w:ind w:left="720" w:hanging="720"/>
        <w:jc w:val="both"/>
        <w:rPr>
          <w:rFonts w:ascii="David" w:hAnsi="David"/>
          <w:rtl/>
        </w:rPr>
      </w:pPr>
    </w:p>
    <w:p w:rsidR="00475BC2" w:rsidRDefault="00475BC2" w:rsidP="00475BC2">
      <w:pPr>
        <w:spacing w:line="360" w:lineRule="auto"/>
        <w:ind w:left="720" w:hanging="720"/>
        <w:jc w:val="both"/>
        <w:rPr>
          <w:rFonts w:ascii="David" w:hAnsi="David"/>
          <w:rtl/>
        </w:rPr>
      </w:pPr>
      <w:r>
        <w:rPr>
          <w:rFonts w:ascii="David" w:hAnsi="David"/>
          <w:rtl/>
        </w:rPr>
        <w:t>56.</w:t>
      </w:r>
      <w:r>
        <w:rPr>
          <w:rFonts w:ascii="David" w:hAnsi="David"/>
          <w:rtl/>
        </w:rPr>
        <w:tab/>
        <w:t xml:space="preserve">חתונת בני הזוג הרשמית הייתה בארץ, וכל הטקסים בגרמניה נועדו על מנת להשיג אזרחות נוספת בעתיד לילדי הצדדים. כל רישומי הקטינה בגרמניה לגן ולביטוח רפואי נועדו לצורך הבטחת זכויותיה ומתוך ראיית טובתה. </w:t>
      </w:r>
    </w:p>
    <w:p w:rsidR="00AB4F1D" w:rsidRDefault="00AB4F1D" w:rsidP="00475BC2">
      <w:pPr>
        <w:spacing w:line="360" w:lineRule="auto"/>
        <w:ind w:left="720" w:hanging="720"/>
        <w:jc w:val="both"/>
        <w:rPr>
          <w:rFonts w:ascii="David" w:hAnsi="David"/>
          <w:rtl/>
        </w:rPr>
      </w:pPr>
    </w:p>
    <w:p w:rsidR="00475BC2" w:rsidRDefault="00475BC2" w:rsidP="00475BC2">
      <w:pPr>
        <w:spacing w:line="360" w:lineRule="auto"/>
        <w:ind w:left="720" w:hanging="720"/>
        <w:jc w:val="both"/>
        <w:rPr>
          <w:rFonts w:ascii="David" w:hAnsi="David"/>
          <w:rtl/>
        </w:rPr>
      </w:pPr>
      <w:r>
        <w:rPr>
          <w:rFonts w:ascii="David" w:hAnsi="David"/>
          <w:rtl/>
        </w:rPr>
        <w:lastRenderedPageBreak/>
        <w:t>57.</w:t>
      </w:r>
      <w:r>
        <w:rPr>
          <w:rFonts w:ascii="David" w:hAnsi="David"/>
          <w:rtl/>
        </w:rPr>
        <w:tab/>
        <w:t xml:space="preserve">כל עדי המשיבה העידו על ויכוחים רבים בין הצדדים סביב מקום המגורים, וכי המערער מעולם לא הסכים ולא הביע רצון להתגורר בגרמניה, ועובדה היא כי מרבית חיי בני הזוג והקטינה היו בישראל. </w:t>
      </w:r>
    </w:p>
    <w:p w:rsidR="00AB4F1D" w:rsidRDefault="00AB4F1D" w:rsidP="00475BC2">
      <w:pPr>
        <w:spacing w:line="360" w:lineRule="auto"/>
        <w:ind w:left="720" w:hanging="720"/>
        <w:jc w:val="both"/>
        <w:rPr>
          <w:rFonts w:ascii="David" w:hAnsi="David"/>
          <w:rtl/>
        </w:rPr>
      </w:pPr>
    </w:p>
    <w:p w:rsidR="00475BC2" w:rsidRDefault="00475BC2" w:rsidP="00475BC2">
      <w:pPr>
        <w:spacing w:line="360" w:lineRule="auto"/>
        <w:ind w:left="720" w:hanging="720"/>
        <w:jc w:val="both"/>
        <w:rPr>
          <w:rFonts w:ascii="David" w:hAnsi="David"/>
          <w:rtl/>
        </w:rPr>
      </w:pPr>
      <w:r>
        <w:rPr>
          <w:rFonts w:ascii="David" w:hAnsi="David"/>
          <w:rtl/>
        </w:rPr>
        <w:t>58.</w:t>
      </w:r>
      <w:r>
        <w:rPr>
          <w:rFonts w:ascii="David" w:hAnsi="David"/>
          <w:rtl/>
        </w:rPr>
        <w:tab/>
        <w:t xml:space="preserve">ביהמ"ש קמא לא בחן טובת הקטינה והתעלם מתסקיר שירות הרווחה. ביהמ"ש קמא לא בירר באם קיים חשש שהחזרת הקטינה לגרמניה תחשוף אותה לנזק פיזי או פסיכולוגי או תעמיד את הקטינה בדרך אחרת במצב בלתי נסבל. </w:t>
      </w:r>
    </w:p>
    <w:p w:rsidR="00AB4F1D" w:rsidRDefault="00AB4F1D" w:rsidP="00475BC2">
      <w:pPr>
        <w:spacing w:line="360" w:lineRule="auto"/>
        <w:ind w:left="720" w:hanging="720"/>
        <w:jc w:val="both"/>
        <w:rPr>
          <w:rFonts w:ascii="David" w:hAnsi="David"/>
          <w:rtl/>
        </w:rPr>
      </w:pPr>
    </w:p>
    <w:p w:rsidR="00475BC2" w:rsidRDefault="00475BC2" w:rsidP="00475BC2">
      <w:pPr>
        <w:spacing w:line="360" w:lineRule="auto"/>
        <w:ind w:left="720" w:hanging="720"/>
        <w:rPr>
          <w:rFonts w:ascii="David" w:hAnsi="David"/>
          <w:b/>
          <w:bCs/>
          <w:rtl/>
        </w:rPr>
      </w:pPr>
      <w:r>
        <w:rPr>
          <w:rFonts w:ascii="David" w:hAnsi="David"/>
          <w:b/>
          <w:bCs/>
          <w:rtl/>
        </w:rPr>
        <w:t xml:space="preserve">טענות המשיבה– </w:t>
      </w:r>
    </w:p>
    <w:p w:rsidR="00AB4F1D" w:rsidRDefault="00AB4F1D" w:rsidP="00475BC2">
      <w:pPr>
        <w:spacing w:line="360" w:lineRule="auto"/>
        <w:ind w:left="720" w:hanging="720"/>
        <w:rPr>
          <w:rFonts w:ascii="David" w:hAnsi="David"/>
          <w:b/>
          <w:bCs/>
          <w:rtl/>
        </w:rPr>
      </w:pPr>
    </w:p>
    <w:p w:rsidR="00475BC2" w:rsidRDefault="00475BC2" w:rsidP="00475BC2">
      <w:pPr>
        <w:spacing w:line="360" w:lineRule="auto"/>
        <w:ind w:left="720" w:hanging="720"/>
        <w:jc w:val="both"/>
        <w:rPr>
          <w:rFonts w:ascii="David" w:hAnsi="David"/>
          <w:rtl/>
        </w:rPr>
      </w:pPr>
      <w:r>
        <w:rPr>
          <w:rFonts w:ascii="David" w:hAnsi="David"/>
          <w:rtl/>
        </w:rPr>
        <w:t>59.</w:t>
      </w:r>
      <w:r>
        <w:rPr>
          <w:rFonts w:ascii="David" w:hAnsi="David"/>
          <w:rtl/>
        </w:rPr>
        <w:tab/>
        <w:t xml:space="preserve">עסקינן בחטיפת קטינה כבת שנתיים המוחזקת בישראל כבר חודשים רבים ע"י אביה שאוסר עליה לחזור לגרמניה. </w:t>
      </w:r>
    </w:p>
    <w:p w:rsidR="00AB4F1D" w:rsidRDefault="00AB4F1D" w:rsidP="00475BC2">
      <w:pPr>
        <w:spacing w:line="360" w:lineRule="auto"/>
        <w:ind w:left="720" w:hanging="720"/>
        <w:jc w:val="both"/>
        <w:rPr>
          <w:rFonts w:ascii="David" w:hAnsi="David"/>
          <w:rtl/>
        </w:rPr>
      </w:pPr>
    </w:p>
    <w:p w:rsidR="00475BC2" w:rsidRDefault="00475BC2" w:rsidP="00475BC2">
      <w:pPr>
        <w:spacing w:line="360" w:lineRule="auto"/>
        <w:ind w:left="720" w:hanging="720"/>
        <w:jc w:val="both"/>
        <w:rPr>
          <w:rFonts w:ascii="David" w:hAnsi="David"/>
          <w:rtl/>
        </w:rPr>
      </w:pPr>
      <w:r>
        <w:rPr>
          <w:rFonts w:ascii="David" w:hAnsi="David"/>
          <w:rtl/>
        </w:rPr>
        <w:t>60.</w:t>
      </w:r>
      <w:r>
        <w:rPr>
          <w:rFonts w:ascii="David" w:hAnsi="David"/>
          <w:rtl/>
        </w:rPr>
        <w:tab/>
        <w:t xml:space="preserve">התמשכות ההליכים משך חצי שנה, כאשר התביעה עפ"י אמנת האג הוגשה כבר בחודש 12/23 פגעה קשות בקטינה הזקוקה לאמה והופרדה ממנה בצורה ברוטאלית ע"י האב. </w:t>
      </w:r>
    </w:p>
    <w:p w:rsidR="00AB4F1D" w:rsidRDefault="00AB4F1D" w:rsidP="00475BC2">
      <w:pPr>
        <w:spacing w:line="360" w:lineRule="auto"/>
        <w:ind w:left="720" w:hanging="720"/>
        <w:jc w:val="both"/>
        <w:rPr>
          <w:rFonts w:ascii="David" w:hAnsi="David"/>
          <w:rtl/>
        </w:rPr>
      </w:pPr>
    </w:p>
    <w:p w:rsidR="00475BC2" w:rsidRDefault="00475BC2" w:rsidP="00475BC2">
      <w:pPr>
        <w:spacing w:line="360" w:lineRule="auto"/>
        <w:ind w:left="720" w:hanging="720"/>
        <w:jc w:val="both"/>
        <w:rPr>
          <w:rFonts w:ascii="David" w:hAnsi="David"/>
          <w:rtl/>
        </w:rPr>
      </w:pPr>
      <w:r>
        <w:rPr>
          <w:rFonts w:ascii="David" w:hAnsi="David"/>
          <w:rtl/>
        </w:rPr>
        <w:t>61.</w:t>
      </w:r>
      <w:r>
        <w:rPr>
          <w:rFonts w:ascii="David" w:hAnsi="David"/>
          <w:rtl/>
        </w:rPr>
        <w:tab/>
        <w:t xml:space="preserve">ביהמ"ש קמא התרשם מהעדויות והראיות כי הייתה הסכמה ביין הצדדים שהאם והקטינה יחזרו לגרמניה לאחר ביקור קצר בתורכיה וישראל. </w:t>
      </w:r>
    </w:p>
    <w:p w:rsidR="00AB4F1D" w:rsidRDefault="00AB4F1D" w:rsidP="00475BC2">
      <w:pPr>
        <w:spacing w:line="360" w:lineRule="auto"/>
        <w:ind w:left="720" w:hanging="720"/>
        <w:jc w:val="both"/>
        <w:rPr>
          <w:rFonts w:ascii="David" w:hAnsi="David"/>
          <w:rtl/>
        </w:rPr>
      </w:pPr>
    </w:p>
    <w:p w:rsidR="00475BC2" w:rsidRDefault="00475BC2" w:rsidP="00475BC2">
      <w:pPr>
        <w:spacing w:line="360" w:lineRule="auto"/>
        <w:ind w:left="720" w:hanging="720"/>
        <w:jc w:val="both"/>
        <w:rPr>
          <w:rFonts w:ascii="David" w:hAnsi="David"/>
          <w:rtl/>
        </w:rPr>
      </w:pPr>
      <w:r>
        <w:rPr>
          <w:rFonts w:ascii="David" w:hAnsi="David"/>
          <w:rtl/>
        </w:rPr>
        <w:t>62.</w:t>
      </w:r>
      <w:r>
        <w:rPr>
          <w:rFonts w:ascii="David" w:hAnsi="David"/>
          <w:rtl/>
        </w:rPr>
        <w:tab/>
        <w:t xml:space="preserve">כל הטקסים המשמעותיים של הצדדים נערכו בברלין. הנישואים האזרחיים לא היו הכרחיים אלמלא לא הייתה לצדדים כוונה להתגורר בגרמניה ולגדל שם את ילדיהם. </w:t>
      </w:r>
    </w:p>
    <w:p w:rsidR="00AB4F1D" w:rsidRDefault="00AB4F1D" w:rsidP="00475BC2">
      <w:pPr>
        <w:spacing w:line="360" w:lineRule="auto"/>
        <w:ind w:left="720" w:hanging="720"/>
        <w:jc w:val="both"/>
        <w:rPr>
          <w:rFonts w:ascii="David" w:hAnsi="David"/>
          <w:rtl/>
        </w:rPr>
      </w:pPr>
    </w:p>
    <w:p w:rsidR="00475BC2" w:rsidRDefault="00475BC2" w:rsidP="00475BC2">
      <w:pPr>
        <w:spacing w:line="360" w:lineRule="auto"/>
        <w:ind w:left="720" w:hanging="720"/>
        <w:jc w:val="both"/>
        <w:rPr>
          <w:rFonts w:ascii="David" w:hAnsi="David"/>
          <w:rtl/>
        </w:rPr>
      </w:pPr>
      <w:r>
        <w:rPr>
          <w:rFonts w:ascii="David" w:hAnsi="David"/>
          <w:rtl/>
        </w:rPr>
        <w:t>63.</w:t>
      </w:r>
      <w:r>
        <w:rPr>
          <w:rFonts w:ascii="David" w:hAnsi="David"/>
          <w:rtl/>
        </w:rPr>
        <w:tab/>
        <w:t xml:space="preserve">ההליכים בפני משרד הפנים בארץ נועדו על מנת שהמשיבה תוכל להיכנס לישראל. בשום שלב לא הסכימה המשיבה להתאזרח וכן מעולם לא התאזרחה. המשיבה מעולם לא ביטלה את התשובות שלה ושל הקטינה בברלין. </w:t>
      </w:r>
    </w:p>
    <w:p w:rsidR="00AB4F1D" w:rsidRDefault="00AB4F1D" w:rsidP="00475BC2">
      <w:pPr>
        <w:spacing w:line="360" w:lineRule="auto"/>
        <w:ind w:left="720" w:hanging="720"/>
        <w:jc w:val="both"/>
        <w:rPr>
          <w:rFonts w:ascii="David" w:hAnsi="David"/>
          <w:rtl/>
        </w:rPr>
      </w:pPr>
    </w:p>
    <w:p w:rsidR="00475BC2" w:rsidRDefault="00475BC2" w:rsidP="00475BC2">
      <w:pPr>
        <w:spacing w:line="360" w:lineRule="auto"/>
        <w:ind w:left="720" w:hanging="720"/>
        <w:jc w:val="both"/>
        <w:rPr>
          <w:rFonts w:ascii="David" w:hAnsi="David"/>
          <w:rtl/>
        </w:rPr>
      </w:pPr>
      <w:r>
        <w:rPr>
          <w:rFonts w:ascii="David" w:hAnsi="David"/>
          <w:rtl/>
        </w:rPr>
        <w:t>64.</w:t>
      </w:r>
      <w:r>
        <w:rPr>
          <w:rFonts w:ascii="David" w:hAnsi="David"/>
          <w:rtl/>
        </w:rPr>
        <w:tab/>
        <w:t xml:space="preserve">בחודש 4/23 הגיעו הצדדים עם הקטינה לביקור בישראל, כאשר המשיבה והקטינה היו אמורות לחזור לאחר שבוע לברלין. המערער הפתיע את המשיבה עם טיול לאנטליה בחודש 6/23. עם שובם מהטיול לארץ, סירב המערער כי המשיבה והקטינה ישובו לגרמניה ונטל את דרכוניהן. </w:t>
      </w:r>
    </w:p>
    <w:p w:rsidR="002126FC" w:rsidRDefault="002126FC" w:rsidP="00475BC2">
      <w:pPr>
        <w:spacing w:line="360" w:lineRule="auto"/>
        <w:ind w:left="720" w:hanging="720"/>
        <w:jc w:val="both"/>
        <w:rPr>
          <w:rFonts w:ascii="David" w:hAnsi="David"/>
          <w:rtl/>
        </w:rPr>
      </w:pPr>
    </w:p>
    <w:p w:rsidR="00475BC2" w:rsidRDefault="00475BC2" w:rsidP="00475BC2">
      <w:pPr>
        <w:spacing w:line="360" w:lineRule="auto"/>
        <w:ind w:left="720" w:hanging="720"/>
        <w:jc w:val="both"/>
        <w:rPr>
          <w:rFonts w:ascii="David" w:hAnsi="David"/>
          <w:rtl/>
        </w:rPr>
      </w:pPr>
      <w:r>
        <w:rPr>
          <w:rFonts w:ascii="David" w:hAnsi="David"/>
          <w:rtl/>
        </w:rPr>
        <w:t>65.</w:t>
      </w:r>
      <w:r>
        <w:rPr>
          <w:rFonts w:ascii="David" w:hAnsi="David"/>
          <w:rtl/>
        </w:rPr>
        <w:tab/>
        <w:t xml:space="preserve">המשיבה הפעילה זכויות משמורת בפועל, לא השלימה עם השארת הקטינה בארץ, לא העתיקה את מקום מגוריה לישראל, והמערער לא עמד בנטל המוטל עליו להוכיח את החריג הקבוע בסעיף 13(ב) לאמנת האג. </w:t>
      </w:r>
    </w:p>
    <w:p w:rsidR="00AB4F1D" w:rsidRDefault="00AB4F1D" w:rsidP="00475BC2">
      <w:pPr>
        <w:spacing w:line="360" w:lineRule="auto"/>
        <w:ind w:left="720" w:hanging="720"/>
        <w:jc w:val="both"/>
        <w:rPr>
          <w:rFonts w:ascii="David" w:hAnsi="David"/>
          <w:rtl/>
        </w:rPr>
      </w:pPr>
    </w:p>
    <w:p w:rsidR="00475BC2" w:rsidRDefault="00475BC2" w:rsidP="00082F61">
      <w:pPr>
        <w:spacing w:line="360" w:lineRule="auto"/>
        <w:ind w:left="720" w:hanging="720"/>
        <w:jc w:val="both"/>
        <w:rPr>
          <w:rFonts w:ascii="David" w:hAnsi="David"/>
          <w:rtl/>
        </w:rPr>
      </w:pPr>
      <w:r>
        <w:rPr>
          <w:rFonts w:ascii="David" w:hAnsi="David"/>
          <w:rtl/>
        </w:rPr>
        <w:lastRenderedPageBreak/>
        <w:t>66.</w:t>
      </w:r>
      <w:r>
        <w:rPr>
          <w:rFonts w:ascii="David" w:hAnsi="David"/>
          <w:rtl/>
        </w:rPr>
        <w:tab/>
        <w:t xml:space="preserve">על כן, יש להורות על החזרת הקטינה לאלתר לגרמניה ומסירת דרכונה המופקד בכספת ביהמ"ש קמא לידי ב"כ האם. כמו כן, יש להורות ללשכת הרווחה והמשטרה להוציא מידי האב את הקטינה ולמסרה לאם בנתב"ג, החוששת להיכנס לארץ בשל צו עיכוב יציאה שעלול להוציא האב, כפי שניסה לעשות כנגד הקטינה לפני מס' ימים בביה"ד </w:t>
      </w:r>
      <w:r w:rsidR="00082F61">
        <w:rPr>
          <w:rFonts w:ascii="David" w:hAnsi="David" w:hint="cs"/>
          <w:rtl/>
        </w:rPr>
        <w:t>-------</w:t>
      </w:r>
      <w:r>
        <w:rPr>
          <w:rFonts w:ascii="David" w:hAnsi="David"/>
          <w:rtl/>
        </w:rPr>
        <w:t xml:space="preserve">.  </w:t>
      </w:r>
    </w:p>
    <w:p w:rsidR="00AB4F1D" w:rsidRDefault="00AB4F1D" w:rsidP="00475BC2">
      <w:pPr>
        <w:spacing w:line="360" w:lineRule="auto"/>
        <w:ind w:left="720" w:hanging="720"/>
        <w:jc w:val="both"/>
        <w:rPr>
          <w:rFonts w:ascii="David" w:hAnsi="David"/>
          <w:rtl/>
        </w:rPr>
      </w:pPr>
    </w:p>
    <w:p w:rsidR="00475BC2" w:rsidRDefault="00475BC2" w:rsidP="00475BC2">
      <w:pPr>
        <w:spacing w:line="360" w:lineRule="auto"/>
        <w:ind w:left="720" w:hanging="720"/>
        <w:jc w:val="both"/>
        <w:rPr>
          <w:rFonts w:ascii="David" w:hAnsi="David"/>
          <w:b/>
          <w:bCs/>
          <w:rtl/>
        </w:rPr>
      </w:pPr>
      <w:r>
        <w:rPr>
          <w:rFonts w:ascii="David" w:hAnsi="David"/>
          <w:b/>
          <w:bCs/>
          <w:rtl/>
        </w:rPr>
        <w:t xml:space="preserve">תגובת אפוט' לדין – </w:t>
      </w:r>
    </w:p>
    <w:p w:rsidR="00AB4F1D" w:rsidRDefault="00AB4F1D" w:rsidP="00475BC2">
      <w:pPr>
        <w:spacing w:line="360" w:lineRule="auto"/>
        <w:ind w:left="720" w:hanging="720"/>
        <w:jc w:val="both"/>
        <w:rPr>
          <w:rFonts w:ascii="David" w:hAnsi="David"/>
          <w:b/>
          <w:bCs/>
          <w:rtl/>
        </w:rPr>
      </w:pPr>
    </w:p>
    <w:p w:rsidR="00AB4F1D" w:rsidRDefault="00475BC2" w:rsidP="00475BC2">
      <w:pPr>
        <w:spacing w:line="360" w:lineRule="auto"/>
        <w:ind w:left="720" w:hanging="720"/>
        <w:jc w:val="both"/>
        <w:rPr>
          <w:rFonts w:ascii="David" w:hAnsi="David"/>
          <w:rtl/>
        </w:rPr>
      </w:pPr>
      <w:r>
        <w:rPr>
          <w:rFonts w:ascii="David" w:hAnsi="David"/>
          <w:rtl/>
        </w:rPr>
        <w:t>67.</w:t>
      </w:r>
      <w:r>
        <w:rPr>
          <w:rFonts w:ascii="David" w:hAnsi="David"/>
          <w:rtl/>
        </w:rPr>
        <w:tab/>
        <w:t>ערכאת הערעור אינה מתערבת בממצאים עובדתיים. הטענות בערעור אינן מעלות טעויות מהותיות או בולטות בפסה"ד של ביהמ"ש קמא המצדיקות התערבות.</w:t>
      </w:r>
    </w:p>
    <w:p w:rsidR="00475BC2" w:rsidRDefault="00475BC2" w:rsidP="00475BC2">
      <w:pPr>
        <w:spacing w:line="360" w:lineRule="auto"/>
        <w:ind w:left="720" w:hanging="720"/>
        <w:jc w:val="both"/>
        <w:rPr>
          <w:rFonts w:ascii="David" w:hAnsi="David"/>
          <w:rtl/>
        </w:rPr>
      </w:pPr>
      <w:r>
        <w:rPr>
          <w:rFonts w:ascii="David" w:hAnsi="David"/>
          <w:rtl/>
        </w:rPr>
        <w:t xml:space="preserve"> </w:t>
      </w:r>
    </w:p>
    <w:p w:rsidR="00475BC2" w:rsidRDefault="00475BC2" w:rsidP="00475BC2">
      <w:pPr>
        <w:spacing w:line="360" w:lineRule="auto"/>
        <w:ind w:left="720" w:hanging="720"/>
        <w:jc w:val="both"/>
        <w:rPr>
          <w:rFonts w:ascii="David" w:hAnsi="David"/>
          <w:rtl/>
        </w:rPr>
      </w:pPr>
      <w:r>
        <w:rPr>
          <w:rFonts w:ascii="David" w:hAnsi="David"/>
          <w:rtl/>
        </w:rPr>
        <w:t>68.</w:t>
      </w:r>
      <w:r>
        <w:rPr>
          <w:rFonts w:ascii="David" w:hAnsi="David"/>
          <w:rtl/>
        </w:rPr>
        <w:tab/>
        <w:t xml:space="preserve">מסקנת ביהמ"ש קמא כי האב החזיק בקטינה שלא כדין ובניגוד לרצון האם החל מחודש 9/23 מבוססת כדבעי על חומר הראיות בתיק. האב פגע בזכויות המשמורת של האם עפ"י הדין הגרמני, עת החזיק בקטינה בישראל בניגוד לרצון האם. </w:t>
      </w:r>
    </w:p>
    <w:p w:rsidR="00AB4F1D" w:rsidRDefault="00AB4F1D" w:rsidP="00475BC2">
      <w:pPr>
        <w:spacing w:line="360" w:lineRule="auto"/>
        <w:ind w:left="720" w:hanging="720"/>
        <w:jc w:val="both"/>
        <w:rPr>
          <w:rFonts w:ascii="David" w:hAnsi="David"/>
          <w:rtl/>
        </w:rPr>
      </w:pPr>
    </w:p>
    <w:p w:rsidR="00475BC2" w:rsidRDefault="00475BC2" w:rsidP="00475BC2">
      <w:pPr>
        <w:spacing w:line="360" w:lineRule="auto"/>
        <w:ind w:left="720" w:hanging="720"/>
        <w:jc w:val="both"/>
        <w:rPr>
          <w:rFonts w:ascii="David" w:hAnsi="David"/>
          <w:rtl/>
        </w:rPr>
      </w:pPr>
      <w:r>
        <w:rPr>
          <w:rFonts w:ascii="David" w:hAnsi="David"/>
          <w:rtl/>
        </w:rPr>
        <w:t>69.</w:t>
      </w:r>
      <w:r>
        <w:rPr>
          <w:rFonts w:ascii="David" w:hAnsi="David"/>
          <w:rtl/>
        </w:rPr>
        <w:tab/>
        <w:t xml:space="preserve">האב הודה בחקירתו בביהמ"ש כי החביא את הדרכונים של המשיבה והקטינה, והסכים לבסוף להחזיר רק לאם את דרכונה אך מנע ממנה לקחת עמה את הקטינה. </w:t>
      </w:r>
    </w:p>
    <w:p w:rsidR="00AB4F1D" w:rsidRDefault="00AB4F1D" w:rsidP="00475BC2">
      <w:pPr>
        <w:spacing w:line="360" w:lineRule="auto"/>
        <w:ind w:left="720" w:hanging="720"/>
        <w:jc w:val="both"/>
        <w:rPr>
          <w:rFonts w:ascii="David" w:hAnsi="David"/>
          <w:rtl/>
        </w:rPr>
      </w:pPr>
    </w:p>
    <w:p w:rsidR="00475BC2" w:rsidRDefault="00475BC2" w:rsidP="00082F61">
      <w:pPr>
        <w:spacing w:line="360" w:lineRule="auto"/>
        <w:ind w:left="720" w:hanging="720"/>
        <w:jc w:val="both"/>
        <w:rPr>
          <w:rFonts w:ascii="David" w:hAnsi="David"/>
          <w:rtl/>
        </w:rPr>
      </w:pPr>
      <w:r>
        <w:rPr>
          <w:rFonts w:ascii="David" w:hAnsi="David"/>
          <w:rtl/>
        </w:rPr>
        <w:t>70.</w:t>
      </w:r>
      <w:r>
        <w:rPr>
          <w:rFonts w:ascii="David" w:hAnsi="David"/>
          <w:rtl/>
        </w:rPr>
        <w:tab/>
        <w:t>מכתבי הטענות, חומר הראיות שצירפו הצדדים ועדויות שנשמעו מתבררת תמונה עובדתית לפיה לאחר לידת הקטינה התעוררה מחלוקת בין הצדדים בנוגע למקום המגורים. כבר בחודש 6/22 ניסה האב לכפות על האם בניגוד לרצונה מגורים בישראל, אך לבסוף התיר לה לעזוב עם הקטינה בחודש 12/22. בעקבות כך סירבה האם להגיע לישראל מחשש שהאב ימנע חזרתה. בחודש 2/23 הצליח האב לשכנע את האם להגיע לישראל לרגל חג</w:t>
      </w:r>
      <w:r w:rsidR="00082F61">
        <w:rPr>
          <w:rFonts w:ascii="David" w:hAnsi="David" w:hint="cs"/>
          <w:rtl/>
        </w:rPr>
        <w:t xml:space="preserve"> -------- </w:t>
      </w:r>
      <w:r>
        <w:rPr>
          <w:rFonts w:ascii="David" w:hAnsi="David"/>
          <w:rtl/>
        </w:rPr>
        <w:t xml:space="preserve"> בחודש </w:t>
      </w:r>
      <w:r w:rsidR="00082F61">
        <w:rPr>
          <w:rFonts w:ascii="David" w:hAnsi="David" w:hint="cs"/>
          <w:rtl/>
        </w:rPr>
        <w:t>3</w:t>
      </w:r>
      <w:r>
        <w:rPr>
          <w:rFonts w:ascii="David" w:hAnsi="David"/>
          <w:rtl/>
        </w:rPr>
        <w:t xml:space="preserve">/23 כאשר הוא מבטיח שלאחר ביקור קצר תוכל לשוב לברלין. האב לא עמד בהבטחתו. </w:t>
      </w:r>
    </w:p>
    <w:p w:rsidR="00AB4F1D" w:rsidRDefault="00AB4F1D" w:rsidP="00475BC2">
      <w:pPr>
        <w:spacing w:line="360" w:lineRule="auto"/>
        <w:ind w:left="720" w:hanging="720"/>
        <w:jc w:val="both"/>
        <w:rPr>
          <w:rFonts w:ascii="David" w:hAnsi="David"/>
          <w:rtl/>
        </w:rPr>
      </w:pPr>
    </w:p>
    <w:p w:rsidR="00475BC2" w:rsidRDefault="00475BC2" w:rsidP="00475BC2">
      <w:pPr>
        <w:spacing w:line="360" w:lineRule="auto"/>
        <w:ind w:left="720" w:hanging="720"/>
        <w:jc w:val="both"/>
        <w:rPr>
          <w:rFonts w:ascii="David" w:hAnsi="David"/>
          <w:rtl/>
        </w:rPr>
      </w:pPr>
      <w:r>
        <w:rPr>
          <w:rFonts w:ascii="David" w:hAnsi="David"/>
          <w:rtl/>
        </w:rPr>
        <w:t>71.</w:t>
      </w:r>
      <w:r>
        <w:rPr>
          <w:rFonts w:ascii="David" w:hAnsi="David"/>
          <w:rtl/>
        </w:rPr>
        <w:tab/>
        <w:t xml:space="preserve">גרסת האם בביהמ"ש קמא הייתה עקבית ונתמכה בראיות ועדויות מהימנות, ומאשרת שמקום המגורים הרגיל של הקטינה הנו בגרמניה, וכי מניעת חזרתה לגרמניה בתום החופשה בישראל מהווה חטיפה. הקטינה ביקרה בישראל עם הוריה אולם בכל ביקור בארץ האב סיכל חזרת האם והקטינה לארץ מוצאן. </w:t>
      </w:r>
    </w:p>
    <w:p w:rsidR="00543EFF" w:rsidRDefault="00543EFF" w:rsidP="00475BC2">
      <w:pPr>
        <w:spacing w:line="360" w:lineRule="auto"/>
        <w:ind w:left="720" w:hanging="720"/>
        <w:jc w:val="both"/>
        <w:rPr>
          <w:rFonts w:ascii="David" w:hAnsi="David"/>
          <w:rtl/>
        </w:rPr>
      </w:pPr>
    </w:p>
    <w:p w:rsidR="00475BC2" w:rsidRDefault="00475BC2" w:rsidP="00475BC2">
      <w:pPr>
        <w:spacing w:line="360" w:lineRule="auto"/>
        <w:ind w:left="720" w:hanging="720"/>
        <w:jc w:val="both"/>
        <w:rPr>
          <w:rFonts w:ascii="David" w:hAnsi="David"/>
          <w:rtl/>
        </w:rPr>
      </w:pPr>
      <w:r>
        <w:rPr>
          <w:rFonts w:ascii="David" w:hAnsi="David"/>
          <w:rtl/>
        </w:rPr>
        <w:t>72.</w:t>
      </w:r>
      <w:r>
        <w:rPr>
          <w:rFonts w:ascii="David" w:hAnsi="David"/>
          <w:rtl/>
        </w:rPr>
        <w:tab/>
        <w:t xml:space="preserve">התסקיר שהוגש הציג את עמדותיהם המנוגדות של הצדדים וכלל דיווח עדכני של הקטינה, אולם לא העלה המלצות אופרטיביות ביחס להליך עפ"י אמנת האג. </w:t>
      </w:r>
    </w:p>
    <w:p w:rsidR="00AB4F1D" w:rsidRDefault="00AB4F1D" w:rsidP="00475BC2">
      <w:pPr>
        <w:spacing w:line="360" w:lineRule="auto"/>
        <w:ind w:left="720" w:hanging="720"/>
        <w:jc w:val="both"/>
        <w:rPr>
          <w:rFonts w:ascii="David" w:hAnsi="David"/>
          <w:rtl/>
        </w:rPr>
      </w:pPr>
    </w:p>
    <w:p w:rsidR="00475BC2" w:rsidRDefault="00475BC2" w:rsidP="00475BC2">
      <w:pPr>
        <w:spacing w:line="360" w:lineRule="auto"/>
        <w:ind w:left="720" w:hanging="720"/>
        <w:jc w:val="both"/>
        <w:rPr>
          <w:rFonts w:ascii="David" w:hAnsi="David"/>
          <w:rtl/>
        </w:rPr>
      </w:pPr>
      <w:r>
        <w:rPr>
          <w:rFonts w:ascii="David" w:hAnsi="David"/>
          <w:rtl/>
        </w:rPr>
        <w:lastRenderedPageBreak/>
        <w:t>73.</w:t>
      </w:r>
      <w:r>
        <w:rPr>
          <w:rFonts w:ascii="David" w:hAnsi="David"/>
          <w:rtl/>
        </w:rPr>
        <w:tab/>
        <w:t xml:space="preserve">החריג הקבוע בסעיף 13(ב) לאמנה לא מתקיים בענייננו. נהפוך הוא, הפרדת הקטינה מאמה שהייתה המטפלת העיקרית בה עלולה לגרום לה לנזק נפשי. האב לא צירף שום אסמכתא התומכת בטענתו להתקיימות חריג "הנזק", ועל כן לא הרים את הנטל הנדרש. </w:t>
      </w:r>
    </w:p>
    <w:p w:rsidR="00AB4F1D" w:rsidRDefault="00AB4F1D" w:rsidP="00475BC2">
      <w:pPr>
        <w:spacing w:line="360" w:lineRule="auto"/>
        <w:ind w:left="720" w:hanging="720"/>
        <w:jc w:val="both"/>
        <w:rPr>
          <w:rFonts w:ascii="David" w:hAnsi="David"/>
          <w:rtl/>
        </w:rPr>
      </w:pPr>
    </w:p>
    <w:p w:rsidR="00475BC2" w:rsidRDefault="00475BC2" w:rsidP="00475BC2">
      <w:pPr>
        <w:spacing w:line="360" w:lineRule="auto"/>
        <w:ind w:left="720" w:hanging="720"/>
        <w:jc w:val="both"/>
        <w:rPr>
          <w:rFonts w:ascii="David" w:hAnsi="David"/>
          <w:rtl/>
        </w:rPr>
      </w:pPr>
      <w:r>
        <w:rPr>
          <w:rFonts w:ascii="David" w:hAnsi="David"/>
          <w:rtl/>
        </w:rPr>
        <w:t>74.</w:t>
      </w:r>
      <w:r>
        <w:rPr>
          <w:rFonts w:ascii="David" w:hAnsi="David"/>
          <w:rtl/>
        </w:rPr>
        <w:tab/>
        <w:t xml:space="preserve">טובתה של הקטינה הוא להשיבה לידי אמה, עם שמירה על הקשר בינה לבין אביה. </w:t>
      </w:r>
    </w:p>
    <w:p w:rsidR="00AB4F1D" w:rsidRDefault="00AB4F1D" w:rsidP="00475BC2">
      <w:pPr>
        <w:spacing w:line="360" w:lineRule="auto"/>
        <w:ind w:left="720" w:hanging="720"/>
        <w:jc w:val="both"/>
        <w:rPr>
          <w:rFonts w:ascii="David" w:hAnsi="David"/>
          <w:rtl/>
        </w:rPr>
      </w:pPr>
    </w:p>
    <w:p w:rsidR="00475BC2" w:rsidRDefault="00475BC2" w:rsidP="00475BC2">
      <w:pPr>
        <w:spacing w:line="360" w:lineRule="auto"/>
        <w:ind w:left="720" w:hanging="720"/>
        <w:rPr>
          <w:rFonts w:ascii="David" w:hAnsi="David"/>
          <w:b/>
          <w:bCs/>
          <w:rtl/>
        </w:rPr>
      </w:pPr>
      <w:r>
        <w:rPr>
          <w:rFonts w:ascii="David" w:hAnsi="David"/>
          <w:b/>
          <w:bCs/>
          <w:rtl/>
        </w:rPr>
        <w:t xml:space="preserve">דיון והכרעה – </w:t>
      </w:r>
    </w:p>
    <w:p w:rsidR="00AB4F1D" w:rsidRDefault="00AB4F1D" w:rsidP="00475BC2">
      <w:pPr>
        <w:spacing w:line="360" w:lineRule="auto"/>
        <w:ind w:left="720" w:hanging="720"/>
        <w:rPr>
          <w:rFonts w:ascii="David" w:hAnsi="David"/>
          <w:b/>
          <w:bCs/>
          <w:rtl/>
        </w:rPr>
      </w:pPr>
    </w:p>
    <w:p w:rsidR="00475BC2" w:rsidRDefault="00475BC2" w:rsidP="00475BC2">
      <w:pPr>
        <w:spacing w:line="360" w:lineRule="auto"/>
        <w:ind w:left="720" w:hanging="720"/>
        <w:jc w:val="both"/>
        <w:rPr>
          <w:rFonts w:ascii="David" w:hAnsi="David"/>
          <w:rtl/>
        </w:rPr>
      </w:pPr>
      <w:r>
        <w:rPr>
          <w:rFonts w:ascii="David" w:hAnsi="David"/>
          <w:rtl/>
        </w:rPr>
        <w:t>75.</w:t>
      </w:r>
      <w:r>
        <w:rPr>
          <w:rFonts w:ascii="David" w:hAnsi="David"/>
          <w:rtl/>
        </w:rPr>
        <w:tab/>
        <w:t>מהלך הדיון שהתקיים ביום 24.6 למעשה חזרו הצדדים ואפוט' לדין על טענותיהם כפי שפורט לעיל, ואיני רואה מקום לחזור על הדברים.</w:t>
      </w:r>
    </w:p>
    <w:p w:rsidR="00AB4F1D" w:rsidRDefault="00AB4F1D" w:rsidP="00475BC2">
      <w:pPr>
        <w:spacing w:line="360" w:lineRule="auto"/>
        <w:ind w:left="720" w:hanging="720"/>
        <w:jc w:val="both"/>
        <w:rPr>
          <w:rFonts w:ascii="David" w:hAnsi="David"/>
          <w:rtl/>
        </w:rPr>
      </w:pPr>
    </w:p>
    <w:p w:rsidR="00475BC2" w:rsidRDefault="00475BC2" w:rsidP="00475BC2">
      <w:pPr>
        <w:spacing w:line="360" w:lineRule="auto"/>
        <w:ind w:left="720" w:hanging="720"/>
        <w:jc w:val="both"/>
        <w:rPr>
          <w:rFonts w:ascii="David" w:hAnsi="David"/>
          <w:rtl/>
        </w:rPr>
      </w:pPr>
      <w:r>
        <w:rPr>
          <w:rFonts w:ascii="David" w:hAnsi="David"/>
          <w:rtl/>
        </w:rPr>
        <w:t>76.</w:t>
      </w:r>
      <w:r>
        <w:rPr>
          <w:rFonts w:ascii="David" w:hAnsi="David"/>
          <w:rtl/>
        </w:rPr>
        <w:tab/>
        <w:t xml:space="preserve">לאחר עיון בכתבי בי-דין, תיק ביהמ"ש קמא ושמיעת טענות הצדדים, הגעתי לכלל מסקנה, וכך אמליץ לחבריי להרכב, כי דין הערעור להידחות, ואלו טעמיי. </w:t>
      </w:r>
    </w:p>
    <w:p w:rsidR="00AB4F1D" w:rsidRDefault="00AB4F1D" w:rsidP="00475BC2">
      <w:pPr>
        <w:spacing w:line="360" w:lineRule="auto"/>
        <w:ind w:left="720" w:hanging="720"/>
        <w:jc w:val="both"/>
        <w:rPr>
          <w:rFonts w:ascii="David" w:hAnsi="David"/>
          <w:rtl/>
        </w:rPr>
      </w:pPr>
    </w:p>
    <w:p w:rsidR="00475BC2" w:rsidRDefault="00475BC2" w:rsidP="00475BC2">
      <w:pPr>
        <w:spacing w:line="360" w:lineRule="auto"/>
        <w:ind w:left="720" w:hanging="720"/>
        <w:jc w:val="both"/>
        <w:rPr>
          <w:rFonts w:ascii="David" w:hAnsi="David"/>
          <w:rtl/>
        </w:rPr>
      </w:pPr>
      <w:r>
        <w:rPr>
          <w:rFonts w:ascii="David" w:hAnsi="David"/>
          <w:rtl/>
        </w:rPr>
        <w:t>77.</w:t>
      </w:r>
      <w:r>
        <w:rPr>
          <w:rFonts w:ascii="David" w:hAnsi="David"/>
          <w:rtl/>
        </w:rPr>
        <w:tab/>
        <w:t xml:space="preserve">ראשית, אין זו מדרכה של ערכאת הערעור להתערב בממצאי עובדה ומהימנות של הערכאה הדיונית, אשר מתרשמת באופן בלתי אמצעי מעדים וחקירתם ובוחנת לעומק את מסכת הראיות שנפרשה בפניה. התערבות ערכאת הערעור תיעשה רק במקרים חריגים וקיצוניים, כגון מקרים בהם נפל פגם היורד לשורשו של עניין בהכרעת ביהמ"ש קמא, או כאשר המסקנות אינן נטועות בממצאים העובדתיים ובהוראות הדין (ראה לעניין זה ספרם של ט' חבקין וח' בן-נון </w:t>
      </w:r>
      <w:r>
        <w:rPr>
          <w:rFonts w:ascii="David" w:hAnsi="David"/>
          <w:b/>
          <w:bCs/>
          <w:rtl/>
        </w:rPr>
        <w:t>"הערעור האזרחי"</w:t>
      </w:r>
      <w:r>
        <w:rPr>
          <w:rFonts w:ascii="David" w:hAnsi="David"/>
          <w:rtl/>
        </w:rPr>
        <w:t xml:space="preserve"> מהדורה שלישית עמודים 475-474; דברי כב' השופט ד. מינץ </w:t>
      </w:r>
      <w:r>
        <w:rPr>
          <w:rFonts w:ascii="David" w:hAnsi="David"/>
          <w:b/>
          <w:bCs/>
          <w:rtl/>
        </w:rPr>
        <w:t>בע"א 8191/16 דיאליט נ' אברהם הרר,</w:t>
      </w:r>
      <w:r>
        <w:rPr>
          <w:rFonts w:ascii="David" w:hAnsi="David"/>
          <w:rtl/>
        </w:rPr>
        <w:t xml:space="preserve"> מיום 17.6.19; </w:t>
      </w:r>
      <w:r>
        <w:rPr>
          <w:rFonts w:ascii="David" w:hAnsi="David"/>
          <w:b/>
          <w:bCs/>
          <w:rtl/>
        </w:rPr>
        <w:t>ע"א 4175/12 תעשית אבן וסיד בע"מ נ' גדיר</w:t>
      </w:r>
      <w:r>
        <w:rPr>
          <w:rFonts w:ascii="David" w:hAnsi="David"/>
          <w:rtl/>
        </w:rPr>
        <w:t xml:space="preserve">, מיום 10.3.14).  </w:t>
      </w:r>
    </w:p>
    <w:p w:rsidR="00AB4F1D" w:rsidRDefault="00AB4F1D" w:rsidP="00475BC2">
      <w:pPr>
        <w:spacing w:line="360" w:lineRule="auto"/>
        <w:ind w:left="720" w:hanging="720"/>
        <w:jc w:val="both"/>
        <w:rPr>
          <w:rFonts w:ascii="David" w:hAnsi="David"/>
          <w:rtl/>
        </w:rPr>
      </w:pPr>
    </w:p>
    <w:p w:rsidR="00475BC2" w:rsidRDefault="00475BC2" w:rsidP="00475BC2">
      <w:pPr>
        <w:spacing w:line="360" w:lineRule="auto"/>
        <w:ind w:left="720" w:hanging="720"/>
        <w:jc w:val="both"/>
        <w:rPr>
          <w:rFonts w:ascii="David" w:hAnsi="David"/>
          <w:rtl/>
        </w:rPr>
      </w:pPr>
      <w:r>
        <w:rPr>
          <w:rFonts w:ascii="David" w:hAnsi="David"/>
          <w:rtl/>
        </w:rPr>
        <w:tab/>
        <w:t xml:space="preserve">המקרה דנן, אינו נמנה על המקרים החריגים המצדיקים התערבות. פסה"ד מפורט ומנומק היטב ומבוסס על קביעות עובדתיות וממצאי מהימנות שאין בכוונתי להתערב בהם. </w:t>
      </w:r>
    </w:p>
    <w:p w:rsidR="00AB4F1D" w:rsidRDefault="00AB4F1D" w:rsidP="00475BC2">
      <w:pPr>
        <w:spacing w:line="360" w:lineRule="auto"/>
        <w:ind w:left="720" w:hanging="720"/>
        <w:jc w:val="both"/>
        <w:rPr>
          <w:rFonts w:ascii="David" w:hAnsi="David"/>
          <w:rtl/>
        </w:rPr>
      </w:pPr>
    </w:p>
    <w:p w:rsidR="00475BC2" w:rsidRDefault="00475BC2" w:rsidP="00082F61">
      <w:pPr>
        <w:spacing w:line="360" w:lineRule="auto"/>
        <w:ind w:left="720" w:hanging="720"/>
        <w:jc w:val="both"/>
        <w:rPr>
          <w:rFonts w:ascii="David" w:hAnsi="David"/>
          <w:rtl/>
        </w:rPr>
      </w:pPr>
      <w:r>
        <w:rPr>
          <w:rFonts w:ascii="David" w:hAnsi="David"/>
          <w:rtl/>
        </w:rPr>
        <w:t>78.</w:t>
      </w:r>
      <w:r>
        <w:rPr>
          <w:rFonts w:ascii="David" w:hAnsi="David"/>
          <w:rtl/>
        </w:rPr>
        <w:tab/>
        <w:t>שנית, ביהמ"ש קמא צדק שעה שקבע שמקום מגוריה הרגיל של הקטינה היה בגרמניה במועד אי ההחזרה. צבר הראיות שהניחה המשיבה בפני ביהמ"ש קמא די בו כדי להביא לקביעה כי עמדה בנטל הנדרש להוכחת מקום המגורים הרגיל בגרמניה. הקטינה נולדה בגרמניה, הונפק לה דרכון גרמני, ונרשמה לפעוטון בגרמניה. הקטינה הגיעה עם הוריה פעמיים לביקור בישראל, כאשר המערער בהתנהלותו וסירובו להחזיר</w:t>
      </w:r>
      <w:r w:rsidR="00082F61">
        <w:rPr>
          <w:rFonts w:ascii="David" w:hAnsi="David" w:hint="cs"/>
          <w:rtl/>
        </w:rPr>
        <w:t xml:space="preserve"> </w:t>
      </w:r>
      <w:r>
        <w:rPr>
          <w:rFonts w:ascii="David" w:hAnsi="David"/>
          <w:rtl/>
        </w:rPr>
        <w:t xml:space="preserve">למשיבה את הדרכונים שלה ושל הקטינה, </w:t>
      </w:r>
      <w:r>
        <w:rPr>
          <w:rFonts w:ascii="David" w:hAnsi="David"/>
          <w:b/>
          <w:bCs/>
          <w:rtl/>
        </w:rPr>
        <w:t>הם הם</w:t>
      </w:r>
      <w:r>
        <w:rPr>
          <w:rFonts w:ascii="David" w:hAnsi="David"/>
          <w:rtl/>
        </w:rPr>
        <w:t xml:space="preserve"> שהביאו להארכת השהות בארץ הן בשנת 2022 והן בשנת 2023. </w:t>
      </w:r>
    </w:p>
    <w:p w:rsidR="00AB4F1D" w:rsidRDefault="00AB4F1D" w:rsidP="00475BC2">
      <w:pPr>
        <w:spacing w:line="360" w:lineRule="auto"/>
        <w:ind w:left="720" w:hanging="720"/>
        <w:jc w:val="both"/>
        <w:rPr>
          <w:rFonts w:ascii="David" w:hAnsi="David"/>
          <w:rtl/>
        </w:rPr>
      </w:pPr>
    </w:p>
    <w:p w:rsidR="00475BC2" w:rsidRDefault="00475BC2" w:rsidP="00475BC2">
      <w:pPr>
        <w:spacing w:line="360" w:lineRule="auto"/>
        <w:ind w:left="720"/>
        <w:jc w:val="both"/>
        <w:rPr>
          <w:rFonts w:ascii="David" w:hAnsi="David"/>
          <w:rtl/>
        </w:rPr>
      </w:pPr>
      <w:r>
        <w:rPr>
          <w:rFonts w:ascii="David" w:hAnsi="David"/>
          <w:rtl/>
        </w:rPr>
        <w:lastRenderedPageBreak/>
        <w:t xml:space="preserve">ודוק, בחודש 3/23 </w:t>
      </w:r>
      <w:r>
        <w:rPr>
          <w:rFonts w:ascii="David" w:hAnsi="David"/>
          <w:b/>
          <w:bCs/>
          <w:rtl/>
        </w:rPr>
        <w:t>מהלך שהותו של המערער בגרמניה חתמו הצדדים</w:t>
      </w:r>
      <w:r>
        <w:rPr>
          <w:rFonts w:ascii="David" w:hAnsi="David"/>
          <w:rtl/>
        </w:rPr>
        <w:t xml:space="preserve"> על הסכם שכירות דירה ורשמו את הקטינה לגן. יש באמור כדי להעיד על הנכונות והרצון של המשפחה להמשיך חייהם המשותפים שם. </w:t>
      </w:r>
    </w:p>
    <w:p w:rsidR="00AB4F1D" w:rsidRDefault="00AB4F1D" w:rsidP="00475BC2">
      <w:pPr>
        <w:spacing w:line="360" w:lineRule="auto"/>
        <w:ind w:left="720"/>
        <w:jc w:val="both"/>
        <w:rPr>
          <w:rFonts w:ascii="David" w:hAnsi="David"/>
          <w:rtl/>
        </w:rPr>
      </w:pPr>
    </w:p>
    <w:p w:rsidR="00475BC2" w:rsidRDefault="00475BC2" w:rsidP="00475BC2">
      <w:pPr>
        <w:spacing w:line="360" w:lineRule="auto"/>
        <w:ind w:left="720" w:hanging="720"/>
        <w:jc w:val="both"/>
        <w:rPr>
          <w:rFonts w:ascii="David" w:hAnsi="David"/>
          <w:rtl/>
        </w:rPr>
      </w:pPr>
      <w:r>
        <w:rPr>
          <w:rFonts w:ascii="David" w:hAnsi="David"/>
          <w:rtl/>
        </w:rPr>
        <w:tab/>
        <w:t xml:space="preserve">ביהמ"ש קמא קבע כי גרסת המשיבה לעניין המצג שהציג בפניה המערער לפיו מקום מגורי המשפחה הוא בגרמניה, הייתה עקבית, הותירה רושם מהימן ונתמכה בראיות ועדויות נוספות שאף הן נמצאו מהימנות. </w:t>
      </w:r>
    </w:p>
    <w:p w:rsidR="00AB4F1D" w:rsidRDefault="00AB4F1D" w:rsidP="00475BC2">
      <w:pPr>
        <w:spacing w:line="360" w:lineRule="auto"/>
        <w:ind w:left="720" w:hanging="720"/>
        <w:jc w:val="both"/>
        <w:rPr>
          <w:rFonts w:ascii="David" w:hAnsi="David"/>
          <w:rtl/>
        </w:rPr>
      </w:pPr>
    </w:p>
    <w:p w:rsidR="00475BC2" w:rsidRDefault="00475BC2" w:rsidP="00475BC2">
      <w:pPr>
        <w:spacing w:line="360" w:lineRule="auto"/>
        <w:ind w:left="720" w:hanging="720"/>
        <w:jc w:val="both"/>
        <w:rPr>
          <w:rFonts w:ascii="David" w:hAnsi="David"/>
          <w:rtl/>
        </w:rPr>
      </w:pPr>
      <w:r>
        <w:rPr>
          <w:rFonts w:ascii="David" w:hAnsi="David"/>
          <w:rtl/>
        </w:rPr>
        <w:tab/>
        <w:t>כאשר ניכר כי צדדים מתעתדים לשהייה קצרה, ומאידך שוכרים דירה ומארגנים מוסד חינוך לילדם- יש בכך ללמד על קביעת מקום מגורים (השווה- תמ"א (ת"א) 2298/92 כהן נ' כהן).</w:t>
      </w:r>
    </w:p>
    <w:p w:rsidR="00AB4F1D" w:rsidRDefault="00AB4F1D" w:rsidP="00475BC2">
      <w:pPr>
        <w:spacing w:line="360" w:lineRule="auto"/>
        <w:ind w:left="720" w:hanging="720"/>
        <w:jc w:val="both"/>
        <w:rPr>
          <w:rFonts w:ascii="David" w:hAnsi="David"/>
          <w:rtl/>
        </w:rPr>
      </w:pPr>
    </w:p>
    <w:p w:rsidR="00475BC2" w:rsidRDefault="00475BC2" w:rsidP="00475BC2">
      <w:pPr>
        <w:spacing w:line="360" w:lineRule="auto"/>
        <w:ind w:left="720" w:hanging="720"/>
        <w:jc w:val="both"/>
        <w:rPr>
          <w:rFonts w:ascii="David" w:hAnsi="David"/>
          <w:rtl/>
        </w:rPr>
      </w:pPr>
      <w:r>
        <w:rPr>
          <w:rFonts w:ascii="David" w:hAnsi="David"/>
          <w:rtl/>
        </w:rPr>
        <w:tab/>
        <w:t>משמדובר בקטינה רכה  יחסית, לא ניתן לומר כי הקטינה קיימה קשרים משמעותיים עם מדינה כלשהי, ועל כן ראוי לבדוק הפעולות הפיזיות של ההורים ((</w:t>
      </w:r>
      <w:r>
        <w:rPr>
          <w:rFonts w:ascii="David" w:hAnsi="David"/>
        </w:rPr>
        <w:t>HILL Ontario judgment</w:t>
      </w:r>
      <w:r>
        <w:rPr>
          <w:rFonts w:ascii="David" w:hAnsi="David"/>
          <w:rtl/>
        </w:rPr>
        <w:t xml:space="preserve">, 353, 8/2/89). ראה לשימוש במבחן התנהלות ההורים- </w:t>
      </w:r>
      <w:r>
        <w:rPr>
          <w:rFonts w:ascii="David" w:hAnsi="David"/>
        </w:rPr>
        <w:t>Aubry N.Y. law journal 16/9/91</w:t>
      </w:r>
      <w:r>
        <w:rPr>
          <w:rFonts w:ascii="David" w:hAnsi="David"/>
          <w:rtl/>
        </w:rPr>
        <w:t>.</w:t>
      </w:r>
    </w:p>
    <w:p w:rsidR="00AA7442" w:rsidRDefault="00AA7442" w:rsidP="00475BC2">
      <w:pPr>
        <w:spacing w:line="360" w:lineRule="auto"/>
        <w:ind w:left="720" w:hanging="720"/>
        <w:jc w:val="both"/>
        <w:rPr>
          <w:rFonts w:ascii="David" w:hAnsi="David"/>
          <w:rtl/>
        </w:rPr>
      </w:pPr>
    </w:p>
    <w:p w:rsidR="00475BC2" w:rsidRDefault="00475BC2" w:rsidP="00475BC2">
      <w:pPr>
        <w:spacing w:line="360" w:lineRule="auto"/>
        <w:ind w:left="720"/>
        <w:jc w:val="both"/>
        <w:rPr>
          <w:rFonts w:ascii="David" w:hAnsi="David"/>
          <w:rtl/>
        </w:rPr>
      </w:pPr>
      <w:r>
        <w:rPr>
          <w:rFonts w:ascii="David" w:hAnsi="David"/>
          <w:rtl/>
        </w:rPr>
        <w:t xml:space="preserve">שינוי זמני במקום המגורים כשכוונת המגורים העתידית הוכחה- אין בו די- ראה </w:t>
      </w:r>
      <w:r>
        <w:rPr>
          <w:rFonts w:ascii="David" w:hAnsi="David"/>
        </w:rPr>
        <w:t>Laing FLC</w:t>
      </w:r>
      <w:r>
        <w:rPr>
          <w:rFonts w:ascii="David" w:hAnsi="David"/>
          <w:rtl/>
        </w:rPr>
        <w:t xml:space="preserve">-192-708, </w:t>
      </w:r>
      <w:r>
        <w:rPr>
          <w:rFonts w:ascii="David" w:hAnsi="David"/>
        </w:rPr>
        <w:t>Family Court of Australia at Sidney</w:t>
      </w:r>
      <w:r>
        <w:rPr>
          <w:rFonts w:ascii="David" w:hAnsi="David"/>
          <w:rtl/>
        </w:rPr>
        <w:t xml:space="preserve"> (10/10/96).</w:t>
      </w:r>
    </w:p>
    <w:p w:rsidR="00AB4F1D" w:rsidRDefault="00AB4F1D" w:rsidP="00475BC2">
      <w:pPr>
        <w:spacing w:line="360" w:lineRule="auto"/>
        <w:ind w:left="720"/>
        <w:jc w:val="both"/>
        <w:rPr>
          <w:rFonts w:ascii="David" w:hAnsi="David"/>
          <w:rtl/>
        </w:rPr>
      </w:pPr>
    </w:p>
    <w:p w:rsidR="00475BC2" w:rsidRDefault="00475BC2" w:rsidP="00475BC2">
      <w:pPr>
        <w:spacing w:line="360" w:lineRule="auto"/>
        <w:ind w:left="720"/>
        <w:jc w:val="both"/>
        <w:rPr>
          <w:rFonts w:ascii="David" w:hAnsi="David"/>
          <w:rtl/>
        </w:rPr>
      </w:pPr>
      <w:r>
        <w:rPr>
          <w:rFonts w:ascii="David" w:hAnsi="David"/>
          <w:b/>
          <w:bCs/>
          <w:rtl/>
        </w:rPr>
        <w:t>בבע"מ 1344/22</w:t>
      </w:r>
      <w:r>
        <w:rPr>
          <w:rFonts w:ascii="David" w:hAnsi="David"/>
          <w:rtl/>
        </w:rPr>
        <w:t xml:space="preserve"> מיום 1.3.22 קבע ביהמ"ש העליון בכל הנוגע למונח "מקום מגורים רגיל" כדלקמן – </w:t>
      </w:r>
    </w:p>
    <w:p w:rsidR="00AA7442" w:rsidRDefault="00AA7442" w:rsidP="00475BC2">
      <w:pPr>
        <w:spacing w:line="360" w:lineRule="auto"/>
        <w:ind w:left="720"/>
        <w:jc w:val="both"/>
        <w:rPr>
          <w:rFonts w:ascii="David" w:hAnsi="David"/>
          <w:rtl/>
        </w:rPr>
      </w:pPr>
    </w:p>
    <w:p w:rsidR="00475BC2" w:rsidRDefault="00475BC2" w:rsidP="00475BC2">
      <w:pPr>
        <w:spacing w:line="360" w:lineRule="auto"/>
        <w:ind w:left="720"/>
        <w:jc w:val="both"/>
        <w:rPr>
          <w:rFonts w:ascii="David" w:hAnsi="David"/>
          <w:rtl/>
        </w:rPr>
      </w:pPr>
      <w:r>
        <w:rPr>
          <w:rFonts w:ascii="David" w:hAnsi="David"/>
          <w:rtl/>
        </w:rPr>
        <w:t xml:space="preserve">"המונח "מקום מגורים רגיל" אינו מוגדר באמנה. בבע"מ 7784/12 פלונית נ' פלוני [פורסם בנבו] (2013) יושבה המחלוקת שהתגלעה בפסיקה בשאלת המבחן הנכון לקביעת מקום המגורים הרגיל – האם מבחן עובדתי-פיזי טהור או שמא מבחן כוונתי, שאמור לבחון באופן עצמאי את כוונת ההורים ביחס למקום מגוריו של הקטין. במחלוקת זו ניצבות משני צידי המתרס שתי אסכולות: האסכולה העובדתית, שמתבססת על בחינת מקום מגוריו הגאוגרפי-פיזי של הקטין עובר להרחקתו (או אי החזרתו), והאסכולה הכוונתית, שבוחנת את כוונת ההורים בכל הנוגע למשך השהות במדינה שבה התגורר הקטין לפני הרחקתו (או אי החזרתו). בפסק-הדין האמור קבע בית משפט זה כי את הבכורה יש לתת למבחן העובדתי-פיזי הטהור, הגם שבמסגרתו יש לבחון, ולהביא בחשבון, גם את כוונת ההורים כעובדה נוספת בין יתר המרכיבים העובדתיים שרלוונטיים לקביעת מקום המגורים הרגיל של הקטין: "מארג העובדות בהחלט יכלול את כוונות ההורים ואת ההחלטות שקיבלו, אך אין ליתן לכוונותיהם משקל עצמאי וחיצוני לבחינה העובדתית. הכוונה אף היא חלק </w:t>
      </w:r>
      <w:r>
        <w:rPr>
          <w:rFonts w:ascii="David" w:hAnsi="David"/>
          <w:rtl/>
        </w:rPr>
        <w:lastRenderedPageBreak/>
        <w:t>מהתמונה העובדתית“ (שם, בפסקה 9 לפסק-דינו של חברי השופט הנדל; ראו גם עמ"ש (תל אביב) 2852-11-21 ש' פ' נ' א' ב'; [פורסם בנבו] 11/11/21)."</w:t>
      </w:r>
    </w:p>
    <w:p w:rsidR="00AA7442" w:rsidRDefault="00AA7442" w:rsidP="00475BC2">
      <w:pPr>
        <w:spacing w:line="360" w:lineRule="auto"/>
        <w:ind w:left="720"/>
        <w:jc w:val="both"/>
        <w:rPr>
          <w:rFonts w:ascii="David" w:hAnsi="David"/>
          <w:rtl/>
        </w:rPr>
      </w:pPr>
    </w:p>
    <w:p w:rsidR="00475BC2" w:rsidRDefault="00475BC2" w:rsidP="00475BC2">
      <w:pPr>
        <w:spacing w:line="360" w:lineRule="auto"/>
        <w:ind w:left="720"/>
        <w:jc w:val="both"/>
        <w:rPr>
          <w:rFonts w:ascii="David" w:hAnsi="David"/>
          <w:rtl/>
        </w:rPr>
      </w:pPr>
      <w:r>
        <w:rPr>
          <w:rFonts w:ascii="David" w:hAnsi="David"/>
          <w:rtl/>
        </w:rPr>
        <w:t xml:space="preserve">בענייננו, המשיבה עמדה בנטל להוכיח כי מקום המגורים של הקטינה סמוך לפני אי החזרתה, היה גרמניה, הן בהתאם למבחן העובדתי הפיזי והן בהתאם למבחן הכוונתי. </w:t>
      </w:r>
    </w:p>
    <w:p w:rsidR="00AA7442" w:rsidRDefault="00AA7442" w:rsidP="00475BC2">
      <w:pPr>
        <w:spacing w:line="360" w:lineRule="auto"/>
        <w:ind w:left="720"/>
        <w:jc w:val="both"/>
        <w:rPr>
          <w:rFonts w:ascii="David" w:hAnsi="David"/>
          <w:rtl/>
        </w:rPr>
      </w:pPr>
    </w:p>
    <w:p w:rsidR="00475BC2" w:rsidRDefault="00475BC2" w:rsidP="00475BC2">
      <w:pPr>
        <w:tabs>
          <w:tab w:val="left" w:pos="702"/>
        </w:tabs>
        <w:spacing w:line="360" w:lineRule="auto"/>
        <w:ind w:left="702" w:hanging="702"/>
        <w:jc w:val="both"/>
        <w:rPr>
          <w:rFonts w:ascii="David" w:hAnsi="David"/>
          <w:rtl/>
        </w:rPr>
      </w:pPr>
      <w:r>
        <w:rPr>
          <w:rFonts w:ascii="David" w:hAnsi="David"/>
          <w:rtl/>
        </w:rPr>
        <w:t>79.</w:t>
      </w:r>
      <w:r>
        <w:rPr>
          <w:rFonts w:ascii="David" w:hAnsi="David"/>
          <w:rtl/>
        </w:rPr>
        <w:tab/>
        <w:t xml:space="preserve">שלישית, משמקום המגורים של הקטינה היה בגרמניה, ועפ"י הדין הגרמני הפר המערער את זכויות המשמורת של המשיבה שעה שמנע את השבתה של הקטינה לגרמניה, הרי שעסקינן בחטיפה בניגוד להוראת סעיף 3 לאמנה. </w:t>
      </w:r>
    </w:p>
    <w:p w:rsidR="00AA7442" w:rsidRDefault="00AA7442" w:rsidP="00475BC2">
      <w:pPr>
        <w:tabs>
          <w:tab w:val="left" w:pos="702"/>
        </w:tabs>
        <w:spacing w:line="360" w:lineRule="auto"/>
        <w:ind w:left="702" w:hanging="702"/>
        <w:jc w:val="both"/>
        <w:rPr>
          <w:rFonts w:ascii="David" w:hAnsi="David"/>
          <w:rtl/>
        </w:rPr>
      </w:pPr>
    </w:p>
    <w:p w:rsidR="00475BC2" w:rsidRDefault="00475BC2" w:rsidP="00475BC2">
      <w:pPr>
        <w:spacing w:line="360" w:lineRule="auto"/>
        <w:ind w:left="720" w:hanging="720"/>
        <w:jc w:val="both"/>
        <w:rPr>
          <w:rFonts w:ascii="David" w:hAnsi="David"/>
          <w:rtl/>
        </w:rPr>
      </w:pPr>
      <w:r>
        <w:rPr>
          <w:rFonts w:ascii="David" w:hAnsi="David"/>
          <w:rtl/>
        </w:rPr>
        <w:t>80.</w:t>
      </w:r>
      <w:r>
        <w:rPr>
          <w:rFonts w:ascii="David" w:hAnsi="David"/>
          <w:rtl/>
        </w:rPr>
        <w:tab/>
        <w:t xml:space="preserve">רביעית, לגבי החריג-  סעיף 13(ב) לאמנה קובע שאין הרשות השיפוטית חייבת להורות על החזרת הקטין אם הוכח כי "קיים חשש חמור שהחזרתו של הילד תחשוף אותו לנזק פיזי או פסיכולוגי או תעמיד את הילד בדרך אחרת במצב בלתי נסבל..."  </w:t>
      </w:r>
    </w:p>
    <w:p w:rsidR="00AA7442" w:rsidRDefault="00AA7442" w:rsidP="00475BC2">
      <w:pPr>
        <w:spacing w:line="360" w:lineRule="auto"/>
        <w:ind w:left="720" w:hanging="720"/>
        <w:jc w:val="both"/>
        <w:rPr>
          <w:rFonts w:ascii="David" w:hAnsi="David"/>
          <w:rtl/>
        </w:rPr>
      </w:pPr>
    </w:p>
    <w:p w:rsidR="00475BC2" w:rsidRDefault="00475BC2" w:rsidP="00AA7442">
      <w:pPr>
        <w:spacing w:line="360" w:lineRule="auto"/>
        <w:ind w:left="720" w:hanging="720"/>
        <w:jc w:val="both"/>
        <w:rPr>
          <w:rFonts w:ascii="David" w:hAnsi="David"/>
          <w:rtl/>
        </w:rPr>
      </w:pPr>
      <w:r>
        <w:rPr>
          <w:rFonts w:ascii="David" w:hAnsi="David"/>
          <w:rtl/>
        </w:rPr>
        <w:tab/>
        <w:t>בהתאם לספרו של עו"ד נתנאל ר. בושרי "טובת הקטין, סוגיות נבחרות", אוגוסט 2011, עמ' 117-118 - על פי הפסיקה בנוגע לחריג בסעיף 13(ב) לאמנה (חשש לנזק פיזי או פסיכולוגי לקטין), יש לפרשו בצמצום רב, ולכן התנאי לאי השבת הילדים הוא כי יש סיכון חמור שהילדים ייחשפו לנזק, נטל ההוכחה ומידתו – ראיות ברורות ומשכנעות (</w:t>
      </w:r>
      <w:r>
        <w:rPr>
          <w:rFonts w:ascii="David" w:hAnsi="David"/>
          <w:b/>
          <w:bCs/>
          <w:rtl/>
        </w:rPr>
        <w:t>תמ"ש 46252/04; ע"א 5532/93 גונזבורג נ' גרינוולד)</w:t>
      </w:r>
      <w:r>
        <w:rPr>
          <w:rFonts w:ascii="David" w:hAnsi="David"/>
          <w:rtl/>
        </w:rPr>
        <w:t>.</w:t>
      </w:r>
    </w:p>
    <w:p w:rsidR="00AA7442" w:rsidRDefault="00AA7442" w:rsidP="00AA7442">
      <w:pPr>
        <w:spacing w:line="360" w:lineRule="auto"/>
        <w:ind w:left="720" w:hanging="720"/>
        <w:jc w:val="both"/>
        <w:rPr>
          <w:rFonts w:ascii="David" w:hAnsi="David"/>
          <w:rtl/>
        </w:rPr>
      </w:pPr>
    </w:p>
    <w:p w:rsidR="00475BC2" w:rsidRDefault="00475BC2" w:rsidP="00475BC2">
      <w:pPr>
        <w:spacing w:line="360" w:lineRule="auto"/>
        <w:ind w:left="720"/>
        <w:jc w:val="both"/>
        <w:rPr>
          <w:rFonts w:ascii="David" w:hAnsi="David"/>
          <w:rtl/>
        </w:rPr>
      </w:pPr>
      <w:r>
        <w:rPr>
          <w:rFonts w:ascii="David" w:hAnsi="David"/>
          <w:rtl/>
        </w:rPr>
        <w:t>עוד נקבע כי "את סעיף 13(ב) לאמנה יש להגביל למקרים יוצאי דופן, מבחינת המצב בלתי נסבל וחומרת החשש להיוותרותו כתוצאה מההחזרה" (</w:t>
      </w:r>
      <w:r>
        <w:rPr>
          <w:rFonts w:ascii="David" w:hAnsi="David"/>
          <w:b/>
          <w:bCs/>
          <w:rtl/>
        </w:rPr>
        <w:t>ע"מ 104/08; ע"א 4391/96 רו נ' רו</w:t>
      </w:r>
      <w:r>
        <w:rPr>
          <w:rFonts w:ascii="David" w:hAnsi="David"/>
          <w:rtl/>
        </w:rPr>
        <w:t>).</w:t>
      </w:r>
    </w:p>
    <w:p w:rsidR="00AA7442" w:rsidRDefault="00AA7442" w:rsidP="00475BC2">
      <w:pPr>
        <w:spacing w:line="360" w:lineRule="auto"/>
        <w:ind w:left="720"/>
        <w:jc w:val="both"/>
        <w:rPr>
          <w:rFonts w:ascii="David" w:hAnsi="David"/>
          <w:rtl/>
        </w:rPr>
      </w:pPr>
    </w:p>
    <w:p w:rsidR="00475BC2" w:rsidRDefault="00475BC2" w:rsidP="00475BC2">
      <w:pPr>
        <w:spacing w:line="360" w:lineRule="auto"/>
        <w:ind w:left="720"/>
        <w:jc w:val="both"/>
        <w:rPr>
          <w:rFonts w:ascii="David" w:hAnsi="David"/>
          <w:b/>
          <w:bCs/>
          <w:rtl/>
        </w:rPr>
      </w:pPr>
      <w:r>
        <w:rPr>
          <w:rFonts w:ascii="David" w:hAnsi="David"/>
          <w:rtl/>
        </w:rPr>
        <w:t>"מתחייבת הוכחתו של סיכון חמור, או חשש לנזק חמור, בעל אופי מהותי... ניתן שלא להורות על החזרת הילד, אם החזרתו תעמיד אותו ב"מצב בלתי נסבל"; בין שאותו מצב בלתי נסבל בא בשל חשש חמור שההחזרה תחשוף את הילד לנזק פיזי או פסיכולוגי, ובין שהחזרתו תעמיד אותו במצב בלתי נסבל "בדרך אחרת"... המבחן שנאחז בו יהיה – כהוראה סעיף 13(ב) לאמנה – מבחן הקשר הסיבתי בין החזרת הילד לבין הנזק שעלול לבוא עליו" (ע</w:t>
      </w:r>
      <w:r>
        <w:rPr>
          <w:rFonts w:ascii="David" w:hAnsi="David"/>
          <w:b/>
          <w:bCs/>
          <w:rtl/>
        </w:rPr>
        <w:t xml:space="preserve">"א 4391/96 רו נ' רו; תמ"ש 32500/04). </w:t>
      </w:r>
    </w:p>
    <w:p w:rsidR="00082F61" w:rsidRDefault="00082F61" w:rsidP="00475BC2">
      <w:pPr>
        <w:spacing w:line="360" w:lineRule="auto"/>
        <w:ind w:left="720"/>
        <w:jc w:val="both"/>
        <w:rPr>
          <w:rFonts w:ascii="David" w:hAnsi="David"/>
          <w:b/>
          <w:bCs/>
          <w:rtl/>
        </w:rPr>
      </w:pPr>
    </w:p>
    <w:p w:rsidR="00475BC2" w:rsidRDefault="00475BC2" w:rsidP="00475BC2">
      <w:pPr>
        <w:spacing w:line="360" w:lineRule="auto"/>
        <w:ind w:left="720"/>
        <w:jc w:val="both"/>
        <w:rPr>
          <w:rFonts w:ascii="David" w:hAnsi="David"/>
          <w:rtl/>
        </w:rPr>
      </w:pPr>
      <w:r>
        <w:rPr>
          <w:rFonts w:ascii="David" w:hAnsi="David"/>
          <w:rtl/>
        </w:rPr>
        <w:t>ביהמ"ש העליון עמד על כך כי את החריגים הקבועים בסעיף 13 יש לפרש בצמצום, ונטל כבד מוטל על החוטף לשכנע את בית המשפט שאחד החריגים מתקיים ושאין להשיב את הילד למדינת ביתו (</w:t>
      </w:r>
      <w:r>
        <w:rPr>
          <w:rFonts w:ascii="David" w:hAnsi="David"/>
          <w:b/>
          <w:bCs/>
          <w:rtl/>
        </w:rPr>
        <w:t>ע"א 4391/96 רו נ' רו; רע"א 7994/08 דגן נ' דגן</w:t>
      </w:r>
      <w:r>
        <w:rPr>
          <w:rFonts w:ascii="David" w:hAnsi="David"/>
          <w:rtl/>
        </w:rPr>
        <w:t xml:space="preserve"> פ"ד נג(3) 254).</w:t>
      </w:r>
    </w:p>
    <w:p w:rsidR="00AA7442" w:rsidRDefault="00AA7442" w:rsidP="00475BC2">
      <w:pPr>
        <w:spacing w:line="360" w:lineRule="auto"/>
        <w:ind w:left="720"/>
        <w:jc w:val="both"/>
        <w:rPr>
          <w:rFonts w:ascii="David" w:hAnsi="David"/>
          <w:rtl/>
        </w:rPr>
      </w:pPr>
    </w:p>
    <w:p w:rsidR="00475BC2" w:rsidRDefault="00475BC2" w:rsidP="00475BC2">
      <w:pPr>
        <w:spacing w:line="360" w:lineRule="auto"/>
        <w:ind w:left="720"/>
        <w:jc w:val="both"/>
        <w:rPr>
          <w:rFonts w:ascii="David" w:hAnsi="David"/>
          <w:rtl/>
        </w:rPr>
      </w:pPr>
      <w:r>
        <w:rPr>
          <w:rFonts w:ascii="David" w:hAnsi="David"/>
          <w:rtl/>
        </w:rPr>
        <w:lastRenderedPageBreak/>
        <w:t>נפסק כי החריג בסעיף 13(ב) למשל יופעל רק אם החוטף יראה שייגרם נזק חמור אם יוחזר למדינתו (</w:t>
      </w:r>
      <w:r>
        <w:rPr>
          <w:rFonts w:ascii="David" w:hAnsi="David"/>
          <w:b/>
          <w:bCs/>
          <w:rtl/>
        </w:rPr>
        <w:t>ע"א 5532/93 גונזבורג נ' גרינוולד</w:t>
      </w:r>
      <w:r>
        <w:rPr>
          <w:rFonts w:ascii="David" w:hAnsi="David"/>
          <w:rtl/>
        </w:rPr>
        <w:t xml:space="preserve">, פ"ד מט(3) 282). </w:t>
      </w:r>
    </w:p>
    <w:p w:rsidR="00AA7442" w:rsidRDefault="00AA7442" w:rsidP="00475BC2">
      <w:pPr>
        <w:spacing w:line="360" w:lineRule="auto"/>
        <w:ind w:left="720"/>
        <w:jc w:val="both"/>
        <w:rPr>
          <w:rFonts w:ascii="David" w:hAnsi="David"/>
          <w:rtl/>
        </w:rPr>
      </w:pPr>
    </w:p>
    <w:p w:rsidR="00475BC2" w:rsidRDefault="00475BC2" w:rsidP="00475BC2">
      <w:pPr>
        <w:spacing w:line="360" w:lineRule="auto"/>
        <w:ind w:left="720"/>
        <w:jc w:val="both"/>
        <w:rPr>
          <w:rFonts w:ascii="David" w:hAnsi="David"/>
          <w:rtl/>
        </w:rPr>
      </w:pPr>
      <w:r>
        <w:rPr>
          <w:rFonts w:ascii="David" w:hAnsi="David"/>
          <w:b/>
          <w:bCs/>
          <w:rtl/>
        </w:rPr>
        <w:t>בע"א 4391/96 רו' נ' רו</w:t>
      </w:r>
      <w:r>
        <w:rPr>
          <w:rFonts w:ascii="David" w:hAnsi="David"/>
          <w:rtl/>
        </w:rPr>
        <w:t xml:space="preserve"> - מקרה שבו ילדה הוצאה מבית אביה, והיה חשש שינהג בה או באמה באלימות, נקבע כי ביהמ"ש אינו רשאי לשקול אצל מי מוטב שתהיה, אלא עליו לשקול את השארתה בישראל לעומת החזרתה עם אמה – בתנאים מגבילים ביחס לגישת אביה – כדי שסוגיית המשמורת תוכרע שם. הוחלט כי יש להשיב את הילדה בתנאים מגבילים כאלה אף על פי שחוות דעתם של פסיכולוגים מומחים קבעו כי ייגרם לילדה נזק פסיכולוגי מהעברתה לסביבה בה תשהה למעשה רק למטרת ניהולם של מאבקים משפטיים. </w:t>
      </w:r>
    </w:p>
    <w:p w:rsidR="00AA7442" w:rsidRDefault="00AA7442" w:rsidP="00475BC2">
      <w:pPr>
        <w:spacing w:line="360" w:lineRule="auto"/>
        <w:ind w:left="720"/>
        <w:jc w:val="both"/>
        <w:rPr>
          <w:rFonts w:ascii="David" w:hAnsi="David"/>
          <w:rtl/>
        </w:rPr>
      </w:pPr>
    </w:p>
    <w:p w:rsidR="00475BC2" w:rsidRDefault="00475BC2" w:rsidP="00475BC2">
      <w:pPr>
        <w:spacing w:line="360" w:lineRule="auto"/>
        <w:ind w:left="720" w:hanging="720"/>
        <w:rPr>
          <w:rFonts w:ascii="David" w:hAnsi="David"/>
          <w:rtl/>
        </w:rPr>
      </w:pPr>
      <w:r>
        <w:rPr>
          <w:rFonts w:ascii="David" w:hAnsi="David"/>
          <w:rtl/>
        </w:rPr>
        <w:tab/>
        <w:t xml:space="preserve">התייחסתי לסוגיה זו בפסק דין אחר – </w:t>
      </w:r>
      <w:r>
        <w:rPr>
          <w:rFonts w:ascii="David" w:hAnsi="David"/>
          <w:b/>
          <w:bCs/>
          <w:rtl/>
        </w:rPr>
        <w:t>עמ"ש 18415-12-23</w:t>
      </w:r>
      <w:r>
        <w:rPr>
          <w:rFonts w:ascii="David" w:hAnsi="David"/>
          <w:rtl/>
        </w:rPr>
        <w:t xml:space="preserve"> מיום 31.3.24, ולא נותר לי אלא לחזור על הדברים כדלקמן – </w:t>
      </w:r>
    </w:p>
    <w:p w:rsidR="00AA7442" w:rsidRDefault="00AA7442" w:rsidP="00475BC2">
      <w:pPr>
        <w:spacing w:line="360" w:lineRule="auto"/>
        <w:ind w:left="720" w:hanging="720"/>
        <w:rPr>
          <w:rFonts w:ascii="David" w:hAnsi="David"/>
          <w:rtl/>
        </w:rPr>
      </w:pPr>
    </w:p>
    <w:p w:rsidR="00475BC2" w:rsidRDefault="00475BC2" w:rsidP="00475BC2">
      <w:pPr>
        <w:spacing w:line="360" w:lineRule="auto"/>
        <w:ind w:left="720" w:hanging="720"/>
        <w:jc w:val="both"/>
        <w:rPr>
          <w:rFonts w:ascii="David" w:hAnsi="David"/>
          <w:rtl/>
        </w:rPr>
      </w:pPr>
      <w:r>
        <w:rPr>
          <w:rFonts w:ascii="David" w:hAnsi="David"/>
          <w:rtl/>
        </w:rPr>
        <w:tab/>
        <w:t xml:space="preserve">"אם אסכם, בפסיקה נקבע כדלקמן – </w:t>
      </w:r>
    </w:p>
    <w:p w:rsidR="00475BC2" w:rsidRDefault="00475BC2" w:rsidP="00475BC2">
      <w:pPr>
        <w:spacing w:line="360" w:lineRule="auto"/>
        <w:ind w:left="720"/>
        <w:jc w:val="both"/>
        <w:rPr>
          <w:rFonts w:ascii="David" w:hAnsi="David"/>
          <w:rtl/>
        </w:rPr>
      </w:pPr>
      <w:r>
        <w:rPr>
          <w:rFonts w:ascii="David" w:hAnsi="David"/>
          <w:rtl/>
        </w:rPr>
        <w:t xml:space="preserve">הנזק הנדרש חייב להיות ברור, חד משמעי ומלווה בראיות חותכות. </w:t>
      </w:r>
    </w:p>
    <w:p w:rsidR="00475BC2" w:rsidRDefault="00475BC2" w:rsidP="00475BC2">
      <w:pPr>
        <w:spacing w:line="360" w:lineRule="auto"/>
        <w:ind w:left="720"/>
        <w:jc w:val="both"/>
        <w:rPr>
          <w:rFonts w:ascii="David" w:hAnsi="David"/>
          <w:rtl/>
        </w:rPr>
      </w:pPr>
      <w:r>
        <w:rPr>
          <w:rFonts w:ascii="David" w:hAnsi="David"/>
          <w:rtl/>
        </w:rPr>
        <w:t>המילים "חשש חמור" תתפרשנה למעשה כ"סיכון חמור", שכן החומרה מתייחסת לסיכון ולא לסבירות קיומו.</w:t>
      </w:r>
    </w:p>
    <w:p w:rsidR="00475BC2" w:rsidRDefault="00475BC2" w:rsidP="00475BC2">
      <w:pPr>
        <w:spacing w:line="360" w:lineRule="auto"/>
        <w:ind w:left="720"/>
        <w:jc w:val="both"/>
        <w:rPr>
          <w:rFonts w:ascii="David" w:hAnsi="David"/>
          <w:rtl/>
        </w:rPr>
      </w:pPr>
      <w:r>
        <w:rPr>
          <w:rFonts w:ascii="David" w:hAnsi="David"/>
          <w:rtl/>
        </w:rPr>
        <w:t xml:space="preserve">הצמצום בפרשנות ההגנה הביא לכך כי טענות כבדות משקל כגון אלכוהוליזם, אלימות וכיו"ב לא הוכרו כמספיקות לצורך ההגנה ונקבע כי תתבררנה במקום המיועד לכך, בהליכי משמורת במדינת המוצא. </w:t>
      </w:r>
    </w:p>
    <w:p w:rsidR="00475BC2" w:rsidRDefault="00475BC2" w:rsidP="00475BC2">
      <w:pPr>
        <w:spacing w:line="360" w:lineRule="auto"/>
        <w:ind w:left="720"/>
        <w:jc w:val="both"/>
        <w:rPr>
          <w:rFonts w:ascii="David" w:hAnsi="David"/>
          <w:rtl/>
        </w:rPr>
      </w:pPr>
      <w:r>
        <w:rPr>
          <w:rFonts w:ascii="David" w:hAnsi="David"/>
          <w:rtl/>
        </w:rPr>
        <w:t>קבלת ההגנה בשל תכונותיו של ההורה העותר מחייבת הוכחת שני תנאים מצטברים – חוסר יכולת ההורה לטפל בילדים והוכחת העדר אפשרות תמיכה חיצונית ע"י רשויות הרווחה או המשפחה המורחבת."</w:t>
      </w:r>
    </w:p>
    <w:p w:rsidR="00475BC2" w:rsidRDefault="00475BC2" w:rsidP="00475BC2">
      <w:pPr>
        <w:spacing w:line="360" w:lineRule="auto"/>
        <w:ind w:left="720"/>
        <w:jc w:val="both"/>
        <w:rPr>
          <w:rFonts w:ascii="David" w:hAnsi="David"/>
          <w:rtl/>
        </w:rPr>
      </w:pPr>
      <w:r>
        <w:rPr>
          <w:rFonts w:ascii="David" w:hAnsi="David"/>
          <w:rtl/>
        </w:rPr>
        <w:t xml:space="preserve">בענייננו, אין אלו פני הדברים. המערער לא העלה כל טענה לפיה ייגרם לקטינה נזק כלשהו מעצם השבתה לגרמניה. כל טענתו הייתה שהשבת הקטינה עלול גרום לניתוק הקשר עמו דבר שעלול לגרום לה נזק. ברי, כי קבלת טענת המערער לפיה החזרת קטינה ללא ההורה החוטף תגרום לה נזק, תרוקן מתוכן את האמנה ותגרום שחוטא יצא נשכר. הנזק על פי האמנה הוא נזק חמור ויוצא דופן שייגרם לקטין בשל החזרה למדינת המוצא ולא בשל הניתוק מההורה החוטף, וזה לא המקרה דנן. </w:t>
      </w:r>
    </w:p>
    <w:p w:rsidR="00AA7442" w:rsidRDefault="00AA7442" w:rsidP="00475BC2">
      <w:pPr>
        <w:spacing w:line="360" w:lineRule="auto"/>
        <w:ind w:left="720"/>
        <w:jc w:val="both"/>
        <w:rPr>
          <w:rFonts w:ascii="David" w:hAnsi="David"/>
          <w:rtl/>
        </w:rPr>
      </w:pPr>
    </w:p>
    <w:p w:rsidR="00475BC2" w:rsidRDefault="00475BC2" w:rsidP="00475BC2">
      <w:pPr>
        <w:spacing w:line="360" w:lineRule="auto"/>
        <w:ind w:left="720" w:hanging="720"/>
        <w:jc w:val="both"/>
        <w:rPr>
          <w:rFonts w:ascii="David" w:hAnsi="David"/>
          <w:rtl/>
        </w:rPr>
      </w:pPr>
      <w:r>
        <w:rPr>
          <w:rFonts w:ascii="David" w:hAnsi="David"/>
          <w:rtl/>
        </w:rPr>
        <w:t>81.</w:t>
      </w:r>
      <w:r>
        <w:rPr>
          <w:rFonts w:ascii="David" w:hAnsi="David"/>
          <w:rtl/>
        </w:rPr>
        <w:tab/>
        <w:t>חמישית - הבאתי בחשבון גם האיחור בהגשת הערעור; בבחינת מעלה מן הצורך.</w:t>
      </w:r>
    </w:p>
    <w:p w:rsidR="00AA7442" w:rsidRDefault="00AA7442" w:rsidP="00475BC2">
      <w:pPr>
        <w:spacing w:line="360" w:lineRule="auto"/>
        <w:ind w:left="720" w:hanging="720"/>
        <w:jc w:val="both"/>
        <w:rPr>
          <w:rFonts w:ascii="David" w:hAnsi="David"/>
          <w:rtl/>
        </w:rPr>
      </w:pPr>
    </w:p>
    <w:p w:rsidR="00475BC2" w:rsidRDefault="00475BC2" w:rsidP="00475BC2">
      <w:pPr>
        <w:spacing w:line="360" w:lineRule="auto"/>
        <w:ind w:left="720" w:hanging="720"/>
        <w:jc w:val="both"/>
        <w:rPr>
          <w:rFonts w:ascii="David" w:hAnsi="David"/>
          <w:rtl/>
        </w:rPr>
      </w:pPr>
      <w:r>
        <w:rPr>
          <w:rFonts w:ascii="David" w:hAnsi="David"/>
          <w:rtl/>
        </w:rPr>
        <w:t>82.</w:t>
      </w:r>
      <w:r>
        <w:rPr>
          <w:rFonts w:ascii="David" w:hAnsi="David"/>
          <w:rtl/>
        </w:rPr>
        <w:tab/>
        <w:t xml:space="preserve">מהטעמים לעיל, דין הערעור להידחות וכך אמליץ לחבריי להרכב, ויש להורות על השבת הקטינה לגרמניה לאלתר. </w:t>
      </w:r>
    </w:p>
    <w:p w:rsidR="00475BC2" w:rsidRDefault="00475BC2" w:rsidP="00475BC2">
      <w:pPr>
        <w:spacing w:line="360" w:lineRule="auto"/>
        <w:ind w:left="720" w:hanging="720"/>
        <w:jc w:val="both"/>
        <w:rPr>
          <w:rFonts w:ascii="David" w:hAnsi="David"/>
          <w:rtl/>
        </w:rPr>
      </w:pPr>
      <w:r>
        <w:rPr>
          <w:rFonts w:ascii="David" w:hAnsi="David"/>
          <w:rtl/>
        </w:rPr>
        <w:lastRenderedPageBreak/>
        <w:t>83.</w:t>
      </w:r>
      <w:r>
        <w:rPr>
          <w:rFonts w:ascii="David" w:hAnsi="David"/>
          <w:rtl/>
        </w:rPr>
        <w:tab/>
        <w:t>כמו כן, ולאור טענות וחששות שהעלתה המשיבה בדבר ניסיונות של המערער להוצאת צווי עיכוב יציאה מהארץ לה ולקטינה, התיק יושב לביהמ"ש קמא, שיקבע הוראות מפורטות ולוחות זמנים בעזרת הרשות המוסמכת והמשטרה, להסעת הקטינה מבית האב לנתב"ג והעברתה לידי המשיבה, אשר תמתין לה בגבול, מבלי צורך להיכנס לגבולות המדינה.</w:t>
      </w:r>
    </w:p>
    <w:p w:rsidR="00AA7442" w:rsidRDefault="00AA7442" w:rsidP="00475BC2">
      <w:pPr>
        <w:spacing w:line="360" w:lineRule="auto"/>
        <w:ind w:left="720" w:hanging="720"/>
        <w:jc w:val="both"/>
        <w:rPr>
          <w:rFonts w:ascii="David" w:hAnsi="David"/>
          <w:rtl/>
        </w:rPr>
      </w:pPr>
    </w:p>
    <w:p w:rsidR="00475BC2" w:rsidRDefault="00475BC2" w:rsidP="00475BC2">
      <w:pPr>
        <w:spacing w:line="360" w:lineRule="auto"/>
        <w:ind w:left="720" w:hanging="720"/>
        <w:jc w:val="both"/>
        <w:rPr>
          <w:rFonts w:ascii="David" w:hAnsi="David"/>
          <w:rtl/>
        </w:rPr>
      </w:pPr>
      <w:r>
        <w:rPr>
          <w:rFonts w:ascii="David" w:hAnsi="David"/>
          <w:rtl/>
        </w:rPr>
        <w:t>84.</w:t>
      </w:r>
      <w:r>
        <w:rPr>
          <w:rFonts w:ascii="David" w:hAnsi="David"/>
          <w:rtl/>
        </w:rPr>
        <w:tab/>
        <w:t xml:space="preserve">לאור התנהלות המערער, אשר בעטיו הקטינה נמצאת בארץ תקופה ממושכת ולא בפעם הראשונה, והוא אף, בעזות מצח יש לומר, השתמש בכך על מנת לתמוך בטענתו כי מקום מגורי הקטינה הוא בישראל, לטעמי, יש לחייבו בהוצאות משפט ושכ"ט עו"ד בסכום של 20,000 ₪. </w:t>
      </w:r>
    </w:p>
    <w:p w:rsidR="00AA7442" w:rsidRDefault="00AA7442" w:rsidP="00475BC2">
      <w:pPr>
        <w:spacing w:line="360" w:lineRule="auto"/>
        <w:ind w:left="720" w:hanging="720"/>
        <w:jc w:val="both"/>
        <w:rPr>
          <w:rFonts w:ascii="David" w:hAnsi="David"/>
          <w:rtl/>
        </w:rPr>
      </w:pPr>
    </w:p>
    <w:p w:rsidR="00543EFF" w:rsidRDefault="00543EFF" w:rsidP="00475BC2">
      <w:pPr>
        <w:spacing w:line="360" w:lineRule="auto"/>
        <w:ind w:left="720" w:hanging="720"/>
        <w:jc w:val="both"/>
        <w:rPr>
          <w:rFonts w:ascii="David" w:hAnsi="David"/>
          <w:rtl/>
        </w:rPr>
      </w:pPr>
    </w:p>
    <w:p w:rsidR="00543EFF" w:rsidRDefault="00543EFF" w:rsidP="00475BC2">
      <w:pPr>
        <w:spacing w:line="360" w:lineRule="auto"/>
        <w:ind w:left="720" w:hanging="720"/>
        <w:jc w:val="both"/>
        <w:rPr>
          <w:rFonts w:ascii="David" w:hAnsi="David"/>
          <w:rtl/>
        </w:rPr>
      </w:pPr>
    </w:p>
    <w:tbl>
      <w:tblPr>
        <w:tblStyle w:val="a9"/>
        <w:tblpPr w:leftFromText="180" w:rightFromText="180" w:vertAnchor="text" w:horzAnchor="margin" w:tblpY="57"/>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350"/>
      </w:tblGrid>
      <w:tr w:rsidR="0004565A" w:rsidTr="0004565A">
        <w:tc>
          <w:tcPr>
            <w:tcW w:w="2350" w:type="dxa"/>
            <w:tcBorders>
              <w:top w:val="nil"/>
              <w:left w:val="nil"/>
              <w:bottom w:val="single" w:sz="4" w:space="0" w:color="auto"/>
              <w:right w:val="nil"/>
            </w:tcBorders>
            <w:vAlign w:val="bottom"/>
            <w:hideMark/>
          </w:tcPr>
          <w:p w:rsidR="0004565A" w:rsidRDefault="0004565A">
            <w:pPr>
              <w:jc w:val="center"/>
              <w:rPr>
                <w:rFonts w:ascii="Courier New" w:hAnsi="Courier New"/>
                <w:b/>
                <w:bCs/>
              </w:rPr>
            </w:pPr>
            <w:r>
              <w:drawing>
                <wp:inline distT="0" distB="0" distL="0" distR="0">
                  <wp:extent cx="897255" cy="707390"/>
                  <wp:effectExtent l="0" t="0" r="0" b="0"/>
                  <wp:docPr id="4"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97255" cy="707390"/>
                          </a:xfrm>
                          <a:prstGeom prst="rect">
                            <a:avLst/>
                          </a:prstGeom>
                          <a:noFill/>
                          <a:ln>
                            <a:noFill/>
                          </a:ln>
                        </pic:spPr>
                      </pic:pic>
                    </a:graphicData>
                  </a:graphic>
                </wp:inline>
              </w:drawing>
            </w:r>
          </w:p>
        </w:tc>
      </w:tr>
      <w:tr w:rsidR="0004565A" w:rsidTr="0004565A">
        <w:tc>
          <w:tcPr>
            <w:tcW w:w="2350" w:type="dxa"/>
            <w:tcBorders>
              <w:top w:val="single" w:sz="4" w:space="0" w:color="auto"/>
              <w:left w:val="nil"/>
              <w:bottom w:val="nil"/>
              <w:right w:val="nil"/>
            </w:tcBorders>
            <w:hideMark/>
          </w:tcPr>
          <w:p w:rsidR="0004565A" w:rsidRDefault="0004565A">
            <w:pPr>
              <w:spacing w:line="360" w:lineRule="auto"/>
              <w:jc w:val="center"/>
              <w:rPr>
                <w:rFonts w:ascii="David" w:hAnsi="David"/>
                <w:b/>
                <w:bCs/>
                <w:rtl/>
              </w:rPr>
            </w:pPr>
            <w:r>
              <w:rPr>
                <w:rFonts w:ascii="David" w:hAnsi="David"/>
                <w:b/>
                <w:bCs/>
                <w:rtl/>
              </w:rPr>
              <w:t>נ. סילמן, שופט</w:t>
            </w:r>
          </w:p>
        </w:tc>
      </w:tr>
    </w:tbl>
    <w:p w:rsidR="00AA7442" w:rsidRDefault="00AA7442" w:rsidP="00475BC2">
      <w:pPr>
        <w:spacing w:line="360" w:lineRule="auto"/>
        <w:ind w:left="720" w:hanging="720"/>
        <w:jc w:val="both"/>
        <w:rPr>
          <w:rFonts w:ascii="David" w:hAnsi="David"/>
        </w:rPr>
      </w:pPr>
    </w:p>
    <w:p w:rsidR="00694556" w:rsidRPr="00C770E3" w:rsidRDefault="00694556">
      <w:pPr>
        <w:spacing w:line="360" w:lineRule="auto"/>
        <w:jc w:val="both"/>
        <w:rPr>
          <w:rFonts w:ascii="Arial" w:hAnsi="Arial"/>
          <w:noProof w:val="0"/>
          <w:rtl/>
        </w:rPr>
      </w:pPr>
    </w:p>
    <w:p w:rsidR="00694556" w:rsidRPr="00AA7442" w:rsidRDefault="00694556">
      <w:pPr>
        <w:spacing w:line="360" w:lineRule="auto"/>
        <w:jc w:val="both"/>
        <w:rPr>
          <w:rFonts w:ascii="Arial" w:hAnsi="Arial"/>
          <w:b/>
          <w:bCs/>
          <w:noProof w:val="0"/>
          <w:u w:val="single"/>
          <w:rtl/>
        </w:rPr>
      </w:pPr>
    </w:p>
    <w:p w:rsidR="00694556" w:rsidRPr="00C770E3"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04565A" w:rsidRDefault="0004565A">
      <w:pPr>
        <w:spacing w:line="360" w:lineRule="auto"/>
        <w:jc w:val="both"/>
        <w:rPr>
          <w:rFonts w:ascii="Arial" w:hAnsi="Arial"/>
          <w:noProof w:val="0"/>
          <w:rtl/>
        </w:rPr>
      </w:pPr>
    </w:p>
    <w:p w:rsidR="0004565A" w:rsidRPr="00AA7442" w:rsidRDefault="0004565A" w:rsidP="0004565A">
      <w:pPr>
        <w:spacing w:line="360" w:lineRule="auto"/>
        <w:jc w:val="both"/>
        <w:rPr>
          <w:rFonts w:ascii="Arial" w:hAnsi="Arial"/>
          <w:b/>
          <w:bCs/>
          <w:noProof w:val="0"/>
          <w:u w:val="single"/>
          <w:rtl/>
        </w:rPr>
      </w:pPr>
      <w:r w:rsidRPr="00AA7442">
        <w:rPr>
          <w:rFonts w:ascii="Arial" w:hAnsi="Arial" w:hint="cs"/>
          <w:b/>
          <w:bCs/>
          <w:noProof w:val="0"/>
          <w:u w:val="single"/>
          <w:rtl/>
        </w:rPr>
        <w:t>השופט סארי ג'יוסי [אב"ד]:</w:t>
      </w:r>
    </w:p>
    <w:p w:rsidR="0004565A" w:rsidRDefault="0004565A" w:rsidP="0004565A">
      <w:pPr>
        <w:jc w:val="both"/>
        <w:rPr>
          <w:rFonts w:ascii="David" w:hAnsi="David"/>
        </w:rPr>
      </w:pPr>
    </w:p>
    <w:p w:rsidR="0004565A" w:rsidRDefault="0004565A" w:rsidP="0004565A">
      <w:pPr>
        <w:spacing w:line="360" w:lineRule="auto"/>
        <w:jc w:val="both"/>
        <w:rPr>
          <w:rFonts w:ascii="David" w:hAnsi="David"/>
          <w:rtl/>
        </w:rPr>
      </w:pPr>
      <w:r>
        <w:rPr>
          <w:rFonts w:ascii="David" w:hAnsi="David"/>
          <w:rtl/>
        </w:rPr>
        <w:t xml:space="preserve">אני מצטרף לאמור בחוות דעתו של חברי כב' השופט ניצן סילמן, ולתוצאה אליה הגיע כי יש לדחות את הערעור. </w:t>
      </w:r>
    </w:p>
    <w:p w:rsidR="0004565A" w:rsidRDefault="0004565A" w:rsidP="0004565A">
      <w:pPr>
        <w:spacing w:line="360" w:lineRule="auto"/>
        <w:jc w:val="both"/>
        <w:rPr>
          <w:rFonts w:ascii="David" w:hAnsi="David"/>
          <w:rtl/>
        </w:rPr>
      </w:pPr>
    </w:p>
    <w:p w:rsidR="0004565A" w:rsidRDefault="0004565A" w:rsidP="0004565A">
      <w:pPr>
        <w:spacing w:line="360" w:lineRule="auto"/>
        <w:ind w:left="720" w:hanging="720"/>
        <w:jc w:val="both"/>
        <w:rPr>
          <w:rFonts w:ascii="David" w:hAnsi="David"/>
          <w:rtl/>
        </w:rPr>
      </w:pPr>
      <w:r>
        <w:rPr>
          <w:rFonts w:ascii="David" w:hAnsi="David"/>
          <w:rtl/>
        </w:rPr>
        <w:t>1.</w:t>
      </w:r>
      <w:r>
        <w:rPr>
          <w:rFonts w:ascii="David" w:hAnsi="David"/>
          <w:rtl/>
        </w:rPr>
        <w:tab/>
        <w:t xml:space="preserve">על חוות דעתו המקיפה של חברי, אבקש להוסיף ולהרחיב במעט היריעה בדבר התנאי לתחולתה של אמנת האג על המקרה הנדון, על פי חוק אמנת האג, שעניינו "מקום מגוריו הרגיל של הקטין". </w:t>
      </w:r>
    </w:p>
    <w:p w:rsidR="0004565A" w:rsidRDefault="0004565A" w:rsidP="0004565A">
      <w:pPr>
        <w:spacing w:line="360" w:lineRule="auto"/>
        <w:ind w:left="720" w:hanging="720"/>
        <w:jc w:val="both"/>
        <w:rPr>
          <w:rFonts w:ascii="David" w:hAnsi="David"/>
          <w:rtl/>
        </w:rPr>
      </w:pPr>
    </w:p>
    <w:p w:rsidR="0004565A" w:rsidRDefault="0004565A" w:rsidP="0004565A">
      <w:pPr>
        <w:spacing w:line="360" w:lineRule="auto"/>
        <w:ind w:left="720"/>
        <w:jc w:val="both"/>
        <w:rPr>
          <w:rFonts w:ascii="David" w:hAnsi="David"/>
          <w:rtl/>
        </w:rPr>
      </w:pPr>
      <w:r>
        <w:rPr>
          <w:rFonts w:ascii="David" w:hAnsi="David"/>
          <w:rtl/>
        </w:rPr>
        <w:t xml:space="preserve">בפסק דינו בחן בית משפט קמא את שאלת התקיימותו של תנאי זה באופן נרחב, יסודי ומעמיק, תוך שנדרש למכלול ראיות שעמדו בפניו, הן באשר לנתונים העובדתיים הנוגעים למקום מגוריה הרגיל של הקטינה והן תוך בחינת כוונת ההורים בזמן אמת לעניין תנאי זה, ולבסוף קבע, כזכור, כי מקום מגוריה הרגיל של הקטינה הינו ברלין בגרמניה. </w:t>
      </w:r>
    </w:p>
    <w:p w:rsidR="0004565A" w:rsidRDefault="0004565A" w:rsidP="0004565A">
      <w:pPr>
        <w:spacing w:line="360" w:lineRule="auto"/>
        <w:ind w:left="720"/>
        <w:jc w:val="both"/>
        <w:rPr>
          <w:rFonts w:ascii="David" w:hAnsi="David"/>
          <w:rtl/>
        </w:rPr>
      </w:pPr>
    </w:p>
    <w:p w:rsidR="0004565A" w:rsidRDefault="0004565A" w:rsidP="0004565A">
      <w:pPr>
        <w:spacing w:line="360" w:lineRule="auto"/>
        <w:ind w:left="720"/>
        <w:jc w:val="both"/>
        <w:rPr>
          <w:rFonts w:ascii="David" w:hAnsi="David"/>
          <w:rtl/>
        </w:rPr>
      </w:pPr>
      <w:r>
        <w:rPr>
          <w:rFonts w:ascii="David" w:hAnsi="David"/>
          <w:rtl/>
        </w:rPr>
        <w:t xml:space="preserve">בערעורו שב המערער וחזר על טענתו בפני בית משפט קמא כי בני הזוג לא הסכימו ביניהם על מקום מגוריה הרגיל של הקטינה, ועתר לקבוע כי מקום מגוריה הקבוע הוא בישראל. </w:t>
      </w:r>
    </w:p>
    <w:p w:rsidR="0004565A" w:rsidRDefault="0004565A" w:rsidP="0004565A">
      <w:pPr>
        <w:spacing w:line="360" w:lineRule="auto"/>
        <w:ind w:left="720"/>
        <w:jc w:val="both"/>
        <w:rPr>
          <w:rFonts w:ascii="David" w:hAnsi="David"/>
          <w:rtl/>
        </w:rPr>
      </w:pPr>
    </w:p>
    <w:p w:rsidR="0004565A" w:rsidRDefault="0004565A" w:rsidP="0004565A">
      <w:pPr>
        <w:spacing w:line="360" w:lineRule="auto"/>
        <w:ind w:left="720" w:hanging="720"/>
        <w:jc w:val="both"/>
        <w:rPr>
          <w:rFonts w:ascii="David" w:hAnsi="David"/>
          <w:rtl/>
        </w:rPr>
      </w:pPr>
      <w:r>
        <w:rPr>
          <w:rFonts w:ascii="David" w:hAnsi="David"/>
          <w:rtl/>
        </w:rPr>
        <w:lastRenderedPageBreak/>
        <w:t>2.</w:t>
      </w:r>
      <w:r>
        <w:rPr>
          <w:rFonts w:ascii="David" w:hAnsi="David"/>
          <w:rtl/>
        </w:rPr>
        <w:tab/>
        <w:t xml:space="preserve">המונח "מקום מגורים רגיל" אינו מוגדר באמנת האג. בבע"מ 7784/12 </w:t>
      </w:r>
      <w:r>
        <w:rPr>
          <w:rFonts w:ascii="David" w:hAnsi="David"/>
          <w:b/>
          <w:bCs/>
          <w:rtl/>
        </w:rPr>
        <w:t>פלונית נ' פלוני</w:t>
      </w:r>
      <w:r>
        <w:rPr>
          <w:rFonts w:ascii="David" w:hAnsi="David"/>
          <w:rtl/>
        </w:rPr>
        <w:t xml:space="preserve"> (28.7.2013); להלן: "</w:t>
      </w:r>
      <w:r>
        <w:rPr>
          <w:rFonts w:ascii="David" w:hAnsi="David"/>
          <w:b/>
          <w:bCs/>
          <w:rtl/>
        </w:rPr>
        <w:t>עניין פלונית</w:t>
      </w:r>
      <w:r>
        <w:rPr>
          <w:rFonts w:ascii="David" w:hAnsi="David"/>
          <w:rtl/>
        </w:rPr>
        <w:t xml:space="preserve">") יושבה מחלוקת שנתגלעה בפסיקה בשאלת המבחן הנכון לקביעת מקום המגורים הרגיל - האם מבחן עובדתי - פיזי טהור או שמא מבחן כוונתי, שאמור לבחון באופן עצמאי את כוונת ההורים ביחס למקום מגוריו של הקטין. לעניין זה קבע כב' השופט ע. הנדל </w:t>
      </w:r>
      <w:r>
        <w:rPr>
          <w:rFonts w:ascii="David" w:hAnsi="David"/>
          <w:b/>
          <w:bCs/>
          <w:rtl/>
        </w:rPr>
        <w:t>בעניין פלונית</w:t>
      </w:r>
      <w:r>
        <w:rPr>
          <w:rFonts w:ascii="David" w:hAnsi="David"/>
          <w:rtl/>
        </w:rPr>
        <w:t>, כדלהלן:</w:t>
      </w:r>
    </w:p>
    <w:p w:rsidR="0004565A" w:rsidRDefault="0004565A" w:rsidP="0004565A">
      <w:pPr>
        <w:spacing w:line="360" w:lineRule="auto"/>
        <w:ind w:left="720" w:hanging="720"/>
        <w:jc w:val="both"/>
        <w:rPr>
          <w:rFonts w:ascii="David" w:hAnsi="David"/>
        </w:rPr>
      </w:pPr>
    </w:p>
    <w:p w:rsidR="0004565A" w:rsidRDefault="0004565A" w:rsidP="0004565A">
      <w:pPr>
        <w:pStyle w:val="Ruller40"/>
        <w:ind w:left="1440"/>
        <w:rPr>
          <w:rFonts w:ascii="David" w:hAnsi="David" w:cs="David"/>
          <w:b/>
          <w:bCs/>
          <w:sz w:val="24"/>
          <w:szCs w:val="24"/>
          <w:rtl/>
        </w:rPr>
      </w:pPr>
      <w:r>
        <w:rPr>
          <w:rFonts w:ascii="David" w:hAnsi="David" w:cs="David"/>
          <w:sz w:val="24"/>
          <w:szCs w:val="24"/>
          <w:rtl/>
        </w:rPr>
        <w:t>"...</w:t>
      </w:r>
      <w:r>
        <w:rPr>
          <w:rFonts w:ascii="David" w:hAnsi="David" w:cs="David"/>
          <w:b/>
          <w:bCs/>
          <w:sz w:val="24"/>
          <w:szCs w:val="24"/>
          <w:rtl/>
        </w:rPr>
        <w:t xml:space="preserve"> לטעמי דווקא הקושי שהוזכר בדבר השוני העובדתי בין מקרה למקרה עשוי לסלול דרך פרשנית נאותה. כפי שיוסבר, המבחן המוצע ישלב בין עקרונות פרשנות של האמנה בתחילת דרכה, ובין פסיקה עדכנית במדינות שונות.</w:t>
      </w:r>
    </w:p>
    <w:p w:rsidR="0004565A" w:rsidRDefault="0004565A" w:rsidP="0004565A">
      <w:pPr>
        <w:pStyle w:val="Ruller40"/>
        <w:spacing w:line="240" w:lineRule="auto"/>
        <w:rPr>
          <w:rFonts w:ascii="David" w:hAnsi="David" w:cs="David"/>
          <w:b/>
          <w:bCs/>
          <w:sz w:val="24"/>
          <w:szCs w:val="24"/>
          <w:rtl/>
        </w:rPr>
      </w:pPr>
    </w:p>
    <w:p w:rsidR="0004565A" w:rsidRDefault="0004565A" w:rsidP="0004565A">
      <w:pPr>
        <w:pStyle w:val="Ruller40"/>
        <w:ind w:left="1440"/>
        <w:rPr>
          <w:rFonts w:ascii="David" w:hAnsi="David" w:cs="David"/>
          <w:b/>
          <w:bCs/>
          <w:sz w:val="24"/>
          <w:szCs w:val="24"/>
          <w:rtl/>
        </w:rPr>
      </w:pPr>
      <w:r>
        <w:rPr>
          <w:rFonts w:ascii="David" w:hAnsi="David" w:cs="David"/>
          <w:b/>
          <w:bCs/>
          <w:sz w:val="24"/>
          <w:szCs w:val="24"/>
          <w:rtl/>
        </w:rPr>
        <w:t>פרופ' אליסה פרז-ורה (</w:t>
      </w:r>
      <w:r>
        <w:rPr>
          <w:rFonts w:ascii="David" w:hAnsi="David" w:cs="David"/>
          <w:b/>
          <w:bCs/>
          <w:sz w:val="24"/>
          <w:szCs w:val="24"/>
        </w:rPr>
        <w:t xml:space="preserve">Elisa </w:t>
      </w:r>
      <w:proofErr w:type="spellStart"/>
      <w:r>
        <w:rPr>
          <w:rFonts w:ascii="David" w:hAnsi="David" w:cs="David"/>
          <w:b/>
          <w:bCs/>
          <w:sz w:val="24"/>
          <w:szCs w:val="24"/>
        </w:rPr>
        <w:t>Pèrez</w:t>
      </w:r>
      <w:proofErr w:type="spellEnd"/>
      <w:r>
        <w:rPr>
          <w:rFonts w:ascii="David" w:hAnsi="David" w:cs="David"/>
          <w:b/>
          <w:bCs/>
          <w:sz w:val="24"/>
          <w:szCs w:val="24"/>
        </w:rPr>
        <w:t xml:space="preserve"> Vera</w:t>
      </w:r>
      <w:r>
        <w:rPr>
          <w:rFonts w:ascii="David" w:hAnsi="David" w:cs="David"/>
          <w:b/>
          <w:bCs/>
          <w:sz w:val="24"/>
          <w:szCs w:val="24"/>
          <w:rtl/>
        </w:rPr>
        <w:t>) אשר שימשה כרפורטרית מוסמכת של האמנה, כתבה בסעיף 66 לדו"ח הפרשני שחיברה בסמוך לכינון האמנה, כך:</w:t>
      </w:r>
    </w:p>
    <w:p w:rsidR="0004565A" w:rsidRDefault="0004565A" w:rsidP="0004565A">
      <w:pPr>
        <w:pStyle w:val="Ruller40"/>
        <w:bidi w:val="0"/>
        <w:spacing w:line="240" w:lineRule="auto"/>
        <w:ind w:left="1440"/>
        <w:rPr>
          <w:rFonts w:ascii="David" w:hAnsi="David" w:cs="David"/>
          <w:b/>
          <w:bCs/>
          <w:sz w:val="24"/>
          <w:szCs w:val="24"/>
          <w:rtl/>
        </w:rPr>
      </w:pPr>
    </w:p>
    <w:p w:rsidR="0004565A" w:rsidRDefault="00543EFF" w:rsidP="00712425">
      <w:pPr>
        <w:pStyle w:val="Ruller50"/>
        <w:ind w:left="2880" w:right="0"/>
        <w:rPr>
          <w:rFonts w:ascii="David" w:hAnsi="David" w:cs="David"/>
          <w:b/>
          <w:bCs/>
          <w:sz w:val="24"/>
          <w:szCs w:val="24"/>
          <w:rtl/>
        </w:rPr>
      </w:pPr>
      <w:r>
        <w:rPr>
          <w:rFonts w:ascii="David" w:hAnsi="David" w:cs="David"/>
          <w:b/>
          <w:bCs/>
          <w:sz w:val="24"/>
          <w:szCs w:val="24"/>
        </w:rPr>
        <w:t>"</w:t>
      </w:r>
      <w:r w:rsidR="0004565A">
        <w:rPr>
          <w:rFonts w:ascii="David" w:hAnsi="David" w:cs="David"/>
          <w:b/>
          <w:bCs/>
          <w:sz w:val="24"/>
          <w:szCs w:val="24"/>
        </w:rPr>
        <w:t xml:space="preserve">we shall not dwell at this point upon the notion of habitual residence, a </w:t>
      </w:r>
      <w:proofErr w:type="spellStart"/>
      <w:r w:rsidR="0004565A">
        <w:rPr>
          <w:rFonts w:ascii="David" w:hAnsi="David" w:cs="David"/>
          <w:b/>
          <w:bCs/>
          <w:sz w:val="24"/>
          <w:szCs w:val="24"/>
        </w:rPr>
        <w:t>well established</w:t>
      </w:r>
      <w:proofErr w:type="spellEnd"/>
      <w:r w:rsidR="0004565A">
        <w:rPr>
          <w:rFonts w:ascii="David" w:hAnsi="David" w:cs="David"/>
          <w:b/>
          <w:bCs/>
          <w:sz w:val="24"/>
          <w:szCs w:val="24"/>
        </w:rPr>
        <w:t xml:space="preserve"> concept in the </w:t>
      </w:r>
      <w:proofErr w:type="spellStart"/>
      <w:r w:rsidR="0004565A">
        <w:rPr>
          <w:rFonts w:ascii="David" w:hAnsi="David" w:cs="David"/>
          <w:b/>
          <w:bCs/>
          <w:sz w:val="24"/>
          <w:szCs w:val="24"/>
        </w:rPr>
        <w:t>hague</w:t>
      </w:r>
      <w:proofErr w:type="spellEnd"/>
      <w:r w:rsidR="0004565A">
        <w:rPr>
          <w:rFonts w:ascii="David" w:hAnsi="David" w:cs="David"/>
          <w:b/>
          <w:bCs/>
          <w:sz w:val="24"/>
          <w:szCs w:val="24"/>
        </w:rPr>
        <w:t xml:space="preserve"> conference, which regards it as </w:t>
      </w:r>
      <w:r w:rsidR="0004565A">
        <w:rPr>
          <w:rFonts w:ascii="David" w:hAnsi="David" w:cs="David"/>
          <w:b/>
          <w:bCs/>
          <w:i/>
          <w:iCs/>
          <w:sz w:val="24"/>
          <w:szCs w:val="24"/>
        </w:rPr>
        <w:t>a</w:t>
      </w:r>
      <w:r w:rsidR="0004565A">
        <w:rPr>
          <w:rFonts w:ascii="David" w:hAnsi="David" w:cs="David"/>
          <w:b/>
          <w:bCs/>
          <w:sz w:val="24"/>
          <w:szCs w:val="24"/>
        </w:rPr>
        <w:t xml:space="preserve"> </w:t>
      </w:r>
      <w:r w:rsidR="0004565A">
        <w:rPr>
          <w:rFonts w:ascii="David" w:hAnsi="David" w:cs="David"/>
          <w:b/>
          <w:bCs/>
          <w:i/>
          <w:iCs/>
          <w:sz w:val="24"/>
          <w:szCs w:val="24"/>
        </w:rPr>
        <w:t>question of pure fact</w:t>
      </w:r>
      <w:r w:rsidR="0004565A">
        <w:rPr>
          <w:rFonts w:ascii="David" w:hAnsi="David" w:cs="David"/>
          <w:b/>
          <w:bCs/>
          <w:sz w:val="24"/>
          <w:szCs w:val="24"/>
        </w:rPr>
        <w:t>, differing in that respect from</w:t>
      </w:r>
      <w:r w:rsidR="00712425">
        <w:rPr>
          <w:rFonts w:ascii="David" w:hAnsi="David" w:cs="David"/>
          <w:b/>
          <w:bCs/>
          <w:sz w:val="24"/>
          <w:szCs w:val="24"/>
        </w:rPr>
        <w:t xml:space="preserve"> </w:t>
      </w:r>
      <w:r w:rsidR="0004565A">
        <w:rPr>
          <w:rFonts w:ascii="David" w:hAnsi="David" w:cs="David"/>
          <w:b/>
          <w:bCs/>
          <w:sz w:val="24"/>
          <w:szCs w:val="24"/>
        </w:rPr>
        <w:t>domicile (</w:t>
      </w:r>
      <w:r w:rsidR="00712425">
        <w:rPr>
          <w:rFonts w:ascii="David" w:hAnsi="David" w:cs="David"/>
          <w:b/>
          <w:bCs/>
          <w:smallCaps/>
          <w:sz w:val="24"/>
          <w:szCs w:val="24"/>
        </w:rPr>
        <w:t>Elisa Pérez-</w:t>
      </w:r>
      <w:proofErr w:type="spellStart"/>
      <w:r w:rsidR="00712425">
        <w:rPr>
          <w:rFonts w:ascii="David" w:hAnsi="David" w:cs="David"/>
          <w:b/>
          <w:bCs/>
          <w:smallCaps/>
          <w:sz w:val="24"/>
          <w:szCs w:val="24"/>
        </w:rPr>
        <w:t>Ver</w:t>
      </w:r>
      <w:proofErr w:type="spellEnd"/>
      <w:r w:rsidR="00712425">
        <w:rPr>
          <w:rFonts w:ascii="David" w:hAnsi="David" w:cs="David"/>
          <w:b/>
          <w:bCs/>
          <w:smallCaps/>
          <w:sz w:val="24"/>
          <w:szCs w:val="24"/>
        </w:rPr>
        <w:t xml:space="preserve"> </w:t>
      </w:r>
      <w:r w:rsidR="0004565A">
        <w:rPr>
          <w:rFonts w:ascii="David" w:hAnsi="David" w:cs="David"/>
          <w:b/>
          <w:bCs/>
          <w:smallCaps/>
          <w:sz w:val="24"/>
          <w:szCs w:val="24"/>
        </w:rPr>
        <w:t>, Explanatory Report on the 1980 Hague Child Abduction Convention</w:t>
      </w:r>
      <w:r w:rsidR="0004565A">
        <w:rPr>
          <w:rFonts w:ascii="David" w:hAnsi="David" w:cs="David"/>
          <w:b/>
          <w:bCs/>
          <w:sz w:val="24"/>
          <w:szCs w:val="24"/>
        </w:rPr>
        <w:t xml:space="preserve"> 445 (1982)) </w:t>
      </w:r>
      <w:r w:rsidR="0004565A">
        <w:rPr>
          <w:rFonts w:ascii="David" w:hAnsi="David" w:cs="David"/>
          <w:b/>
          <w:bCs/>
          <w:sz w:val="24"/>
          <w:szCs w:val="24"/>
          <w:rtl/>
        </w:rPr>
        <w:t xml:space="preserve"> </w:t>
      </w:r>
      <w:r w:rsidR="0004565A">
        <w:rPr>
          <w:rFonts w:ascii="David" w:hAnsi="David" w:cs="David" w:hint="cs"/>
          <w:b/>
          <w:bCs/>
          <w:sz w:val="24"/>
          <w:szCs w:val="24"/>
          <w:rtl/>
        </w:rPr>
        <w:t>.</w:t>
      </w:r>
      <w:r w:rsidR="0004565A">
        <w:rPr>
          <w:rFonts w:ascii="David" w:hAnsi="David" w:cs="David"/>
          <w:b/>
          <w:bCs/>
          <w:sz w:val="24"/>
          <w:szCs w:val="24"/>
          <w:rtl/>
        </w:rPr>
        <w:t>(ההדגשה לא במקור)</w:t>
      </w:r>
      <w:r>
        <w:rPr>
          <w:rFonts w:ascii="David" w:hAnsi="David" w:cs="David" w:hint="cs"/>
          <w:b/>
          <w:bCs/>
          <w:sz w:val="24"/>
          <w:szCs w:val="24"/>
          <w:rtl/>
        </w:rPr>
        <w:t>"</w:t>
      </w:r>
    </w:p>
    <w:p w:rsidR="00712425" w:rsidRDefault="00712425" w:rsidP="00712425">
      <w:pPr>
        <w:pStyle w:val="Ruller50"/>
        <w:ind w:left="2880" w:right="0"/>
        <w:rPr>
          <w:rFonts w:ascii="David" w:hAnsi="David" w:cs="David"/>
          <w:b/>
          <w:bCs/>
          <w:sz w:val="24"/>
          <w:szCs w:val="24"/>
          <w:rtl/>
        </w:rPr>
      </w:pPr>
    </w:p>
    <w:p w:rsidR="0004565A" w:rsidRDefault="0004565A" w:rsidP="0004565A">
      <w:pPr>
        <w:pStyle w:val="Ruller40"/>
        <w:ind w:left="1440"/>
        <w:rPr>
          <w:rFonts w:ascii="David" w:hAnsi="David" w:cs="David"/>
          <w:b/>
          <w:bCs/>
          <w:sz w:val="24"/>
          <w:szCs w:val="24"/>
          <w:rtl/>
        </w:rPr>
      </w:pPr>
      <w:r>
        <w:rPr>
          <w:rFonts w:ascii="David" w:hAnsi="David" w:cs="David"/>
          <w:b/>
          <w:bCs/>
          <w:sz w:val="24"/>
          <w:szCs w:val="24"/>
          <w:rtl/>
        </w:rPr>
        <w:t xml:space="preserve">העמדה לפיה </w:t>
      </w:r>
      <w:r>
        <w:rPr>
          <w:rFonts w:ascii="David" w:hAnsi="David" w:cs="David"/>
          <w:b/>
          <w:bCs/>
          <w:sz w:val="24"/>
          <w:szCs w:val="24"/>
        </w:rPr>
        <w:t>Habitual Residence</w:t>
      </w:r>
      <w:r>
        <w:rPr>
          <w:rFonts w:ascii="David" w:hAnsi="David" w:cs="David"/>
          <w:b/>
          <w:bCs/>
          <w:sz w:val="24"/>
          <w:szCs w:val="24"/>
          <w:rtl/>
        </w:rPr>
        <w:t xml:space="preserve"> ("מקום המגורים הרגיל") הינה סוגיה של "</w:t>
      </w:r>
      <w:r>
        <w:rPr>
          <w:rFonts w:ascii="David" w:hAnsi="David" w:cs="David"/>
          <w:b/>
          <w:bCs/>
          <w:sz w:val="24"/>
          <w:szCs w:val="24"/>
        </w:rPr>
        <w:t>Pure Fact</w:t>
      </w:r>
      <w:r>
        <w:rPr>
          <w:rFonts w:ascii="David" w:hAnsi="David" w:cs="David"/>
          <w:b/>
          <w:bCs/>
          <w:sz w:val="24"/>
          <w:szCs w:val="24"/>
          <w:rtl/>
        </w:rPr>
        <w:t xml:space="preserve">", </w:t>
      </w:r>
      <w:r w:rsidRPr="00712425">
        <w:rPr>
          <w:rFonts w:ascii="David" w:hAnsi="David" w:cs="David"/>
          <w:b/>
          <w:bCs/>
          <w:sz w:val="24"/>
          <w:szCs w:val="24"/>
          <w:rtl/>
        </w:rPr>
        <w:t xml:space="preserve">עובדה טהורה, משמעה שעל הבדיקה להיות מקיפה ומעמיקה. התוצאה של הבירור העובדתי הטהור היא שלעיתים עובדה מסוימת תזכה למשקל רב בשקלול הסופי של כלל הנתונים ולעיתים עובדה אחרת תזכה בבכורה. בדיקה עובדתית טהורה חייבת להיות רחבה וכוללנית. מארג העובדות בהחלט יכלול את כוונות ההורים ואת ההחלטות שקיבלו, אך אין </w:t>
      </w:r>
      <w:proofErr w:type="spellStart"/>
      <w:r w:rsidRPr="00712425">
        <w:rPr>
          <w:rFonts w:ascii="David" w:hAnsi="David" w:cs="David"/>
          <w:b/>
          <w:bCs/>
          <w:sz w:val="24"/>
          <w:szCs w:val="24"/>
          <w:rtl/>
        </w:rPr>
        <w:t>ליתן</w:t>
      </w:r>
      <w:proofErr w:type="spellEnd"/>
      <w:r w:rsidRPr="00712425">
        <w:rPr>
          <w:rFonts w:ascii="David" w:hAnsi="David" w:cs="David"/>
          <w:b/>
          <w:bCs/>
          <w:sz w:val="24"/>
          <w:szCs w:val="24"/>
          <w:rtl/>
        </w:rPr>
        <w:t xml:space="preserve"> לכוונותיהם משקל עצמאי וחיצוני לבחינה העובדתית. הכוונה אף היא חלק מהתמונה העובדתית</w:t>
      </w:r>
      <w:r>
        <w:rPr>
          <w:rFonts w:ascii="David" w:hAnsi="David" w:cs="David"/>
          <w:b/>
          <w:bCs/>
          <w:sz w:val="24"/>
          <w:szCs w:val="24"/>
          <w:rtl/>
        </w:rPr>
        <w:t xml:space="preserve">. מטבע הדברים, נתון הכוונה  מפנה את הבדיקה להורים. אף כאן יש לתת את המשקל הממשי למונח המדויק </w:t>
      </w:r>
      <w:r>
        <w:rPr>
          <w:rFonts w:ascii="David" w:hAnsi="David" w:cs="David"/>
          <w:b/>
          <w:bCs/>
          <w:sz w:val="24"/>
          <w:szCs w:val="24"/>
        </w:rPr>
        <w:t>Habitual Residence of the Child</w:t>
      </w:r>
      <w:r>
        <w:rPr>
          <w:rFonts w:ascii="David" w:hAnsi="David" w:cs="David"/>
          <w:b/>
          <w:bCs/>
          <w:sz w:val="24"/>
          <w:szCs w:val="24"/>
          <w:rtl/>
        </w:rPr>
        <w:t xml:space="preserve"> – "מקום מגוריו הרגיל של הילד" השם את הזרקור על הילד. במובן זה יש לשמוע את קולו של הילד. זאת לא במובן בו בית המשפט ישאל אותו למקום מגוריו הרגיל שהרי אין אנו עוסקים בסוגיה סובייקטיבית, אלא במובן האובייקטיבי המופשט במידת מה. על פי ראייה זו חשוב לבחון את חיי הילד כפי שהם, אך המסקנה עשויה לכלול את כוונת ההורים שאף </w:t>
      </w:r>
      <w:r>
        <w:rPr>
          <w:rFonts w:ascii="David" w:hAnsi="David" w:cs="David"/>
          <w:b/>
          <w:bCs/>
          <w:sz w:val="24"/>
          <w:szCs w:val="24"/>
          <w:rtl/>
        </w:rPr>
        <w:lastRenderedPageBreak/>
        <w:t xml:space="preserve">היא רלוונטית בתור עובדה. כמובן,  יש חשיבות לשיקולים אחרים כגון מטרת הנסיעה למדינה אחרת, תחימת הנסיעה בזמן ואף גילו של הילד. ודוק, יש לבחון לא את מקום מגוריו של הילד כי אם את מקום מגוריו </w:t>
      </w:r>
      <w:r>
        <w:rPr>
          <w:rFonts w:ascii="David" w:hAnsi="David" w:cs="David"/>
          <w:b/>
          <w:bCs/>
          <w:spacing w:val="0"/>
          <w:sz w:val="24"/>
          <w:szCs w:val="24"/>
          <w:rtl/>
        </w:rPr>
        <w:t>הרגיל</w:t>
      </w:r>
      <w:r>
        <w:rPr>
          <w:rFonts w:ascii="David" w:hAnsi="David" w:cs="David"/>
          <w:b/>
          <w:bCs/>
          <w:sz w:val="24"/>
          <w:szCs w:val="24"/>
          <w:rtl/>
        </w:rPr>
        <w:t xml:space="preserve"> על המשתמע מכך. </w:t>
      </w:r>
    </w:p>
    <w:p w:rsidR="0004565A" w:rsidRPr="0004565A" w:rsidRDefault="0004565A" w:rsidP="0004565A">
      <w:pPr>
        <w:pStyle w:val="Ruller40"/>
        <w:spacing w:line="240" w:lineRule="auto"/>
        <w:rPr>
          <w:rFonts w:ascii="David" w:hAnsi="David" w:cs="David"/>
          <w:b/>
          <w:bCs/>
          <w:sz w:val="16"/>
          <w:szCs w:val="16"/>
          <w:rtl/>
        </w:rPr>
      </w:pPr>
      <w:r>
        <w:rPr>
          <w:rFonts w:ascii="David" w:hAnsi="David" w:cs="David"/>
          <w:b/>
          <w:bCs/>
          <w:sz w:val="24"/>
          <w:szCs w:val="24"/>
          <w:rtl/>
        </w:rPr>
        <w:tab/>
      </w:r>
    </w:p>
    <w:p w:rsidR="0004565A" w:rsidRPr="00712425" w:rsidRDefault="0004565A" w:rsidP="0004565A">
      <w:pPr>
        <w:pStyle w:val="Ruller40"/>
        <w:ind w:left="1440"/>
        <w:rPr>
          <w:rFonts w:ascii="David" w:hAnsi="David" w:cs="David"/>
          <w:b/>
          <w:bCs/>
          <w:sz w:val="24"/>
          <w:szCs w:val="24"/>
          <w:u w:val="single"/>
          <w:rtl/>
        </w:rPr>
      </w:pPr>
      <w:r w:rsidRPr="00712425">
        <w:rPr>
          <w:rFonts w:ascii="David" w:hAnsi="David" w:cs="David"/>
          <w:b/>
          <w:bCs/>
          <w:sz w:val="24"/>
          <w:szCs w:val="24"/>
          <w:rtl/>
        </w:rPr>
        <w:t xml:space="preserve">התמקדות בעובדות, להבדיל משילוב בין מבחן עובדתי למבחן כוונתי, תביא לתוצאות שונות שלא על בסיס קיומן של אסכולות משפטיות מתחרות, כי אם על בסיס המארג העובדתי הייחודי לכל מקרה ומקרה. יודגש אף כי גם בחינת העובדות לא נעשית מנקודת המבט של ההורים אלא מנקודת מבטו של הילד, בבחינה אובייקטיבית של נקודת מבט זו. </w:t>
      </w:r>
      <w:r w:rsidRPr="00712425">
        <w:rPr>
          <w:rFonts w:ascii="David" w:hAnsi="David" w:cs="David"/>
          <w:b/>
          <w:bCs/>
          <w:sz w:val="24"/>
          <w:szCs w:val="24"/>
          <w:u w:val="single"/>
          <w:rtl/>
        </w:rPr>
        <w:t xml:space="preserve">רוצה לומר, בבוא בית המשפט להניח את אצבעו על מפת העולם, להצביע על אחת המדינות ולקבוע "כאן מקום מגוריו הרגיל של הקטין", עליו לשוות לנגד עיניו את מפת עולמו של הקטין, על פסיפס העובדות המרכיבות אותה. </w:t>
      </w:r>
    </w:p>
    <w:p w:rsidR="0004565A" w:rsidRPr="0004565A" w:rsidRDefault="0004565A" w:rsidP="0004565A">
      <w:pPr>
        <w:pStyle w:val="Ruller40"/>
        <w:rPr>
          <w:rFonts w:ascii="David" w:hAnsi="David" w:cs="David"/>
          <w:b/>
          <w:bCs/>
          <w:sz w:val="16"/>
          <w:szCs w:val="16"/>
          <w:rtl/>
        </w:rPr>
      </w:pPr>
    </w:p>
    <w:p w:rsidR="0004565A" w:rsidRDefault="0004565A" w:rsidP="0004565A">
      <w:pPr>
        <w:pStyle w:val="Ruller40"/>
        <w:ind w:left="1440"/>
        <w:rPr>
          <w:rFonts w:ascii="David" w:hAnsi="David" w:cs="David"/>
          <w:sz w:val="24"/>
          <w:szCs w:val="24"/>
          <w:rtl/>
        </w:rPr>
      </w:pPr>
      <w:r>
        <w:rPr>
          <w:rFonts w:ascii="David" w:hAnsi="David" w:cs="David"/>
          <w:b/>
          <w:bCs/>
          <w:sz w:val="24"/>
          <w:szCs w:val="24"/>
          <w:u w:val="single"/>
          <w:rtl/>
        </w:rPr>
        <w:t xml:space="preserve">מבחן עובדתי טהור תוך מיקוד בילד הכולל את כוונות הוריו בגדר עובדה תואם גם את פסק הדין בעניין </w:t>
      </w:r>
      <w:r>
        <w:rPr>
          <w:rFonts w:ascii="David" w:hAnsi="David" w:cs="David"/>
          <w:b/>
          <w:bCs/>
          <w:spacing w:val="0"/>
          <w:sz w:val="24"/>
          <w:szCs w:val="24"/>
          <w:u w:val="single"/>
          <w:rtl/>
        </w:rPr>
        <w:t>גבאי</w:t>
      </w:r>
      <w:r>
        <w:rPr>
          <w:rFonts w:ascii="David" w:hAnsi="David" w:cs="David"/>
          <w:b/>
          <w:bCs/>
          <w:sz w:val="24"/>
          <w:szCs w:val="24"/>
          <w:u w:val="single"/>
          <w:rtl/>
        </w:rPr>
        <w:t>, וגם את הפסיקה העדכנית שניתנה בבית משפט זה לפיה אין ליצור חיץ בין העובדות לבין הכוונות</w:t>
      </w:r>
      <w:r>
        <w:rPr>
          <w:rFonts w:ascii="David" w:hAnsi="David" w:cs="David"/>
          <w:b/>
          <w:bCs/>
          <w:sz w:val="24"/>
          <w:szCs w:val="24"/>
          <w:rtl/>
        </w:rPr>
        <w:t>. המבחן אף תואם את הפסיקה במדינות זרות המחויבות אף הן כישראל ללשון האמנה ותכליותיה. בקנדה נקבע, למשל, שהמונח "מקום מגוריו של הילד" הינו בגדר סוגיה משפטית טהורה שתוכרע על פי המציאות של חיי הילד ולא זו של הוריו..."</w:t>
      </w:r>
      <w:r>
        <w:rPr>
          <w:rFonts w:ascii="David" w:hAnsi="David" w:cs="David"/>
          <w:sz w:val="24"/>
          <w:szCs w:val="24"/>
          <w:rtl/>
        </w:rPr>
        <w:t xml:space="preserve"> (ההדגשות אינן במקור).</w:t>
      </w:r>
    </w:p>
    <w:p w:rsidR="0004565A" w:rsidRDefault="0004565A" w:rsidP="0004565A">
      <w:pPr>
        <w:pStyle w:val="Ruller40"/>
        <w:ind w:left="1440"/>
        <w:rPr>
          <w:rFonts w:ascii="David" w:hAnsi="David" w:cs="David"/>
          <w:sz w:val="24"/>
          <w:szCs w:val="24"/>
          <w:rtl/>
        </w:rPr>
      </w:pPr>
    </w:p>
    <w:p w:rsidR="0004565A" w:rsidRDefault="0004565A" w:rsidP="00403A05">
      <w:pPr>
        <w:spacing w:line="360" w:lineRule="auto"/>
        <w:ind w:left="720"/>
        <w:jc w:val="both"/>
        <w:rPr>
          <w:rFonts w:ascii="David" w:hAnsi="David"/>
          <w:b/>
          <w:bCs/>
          <w:rtl/>
        </w:rPr>
      </w:pPr>
      <w:r>
        <w:rPr>
          <w:rFonts w:ascii="David" w:hAnsi="David"/>
          <w:rtl/>
        </w:rPr>
        <w:t xml:space="preserve">ועוד, ההלכה שנקבעה בעניין פלונית הנ"ל ואומצה בפסקי דין מאוחרים לה של בית המשפט העליון סוכמה בבע"מ 1344/22 </w:t>
      </w:r>
      <w:r>
        <w:rPr>
          <w:rFonts w:ascii="David" w:hAnsi="David"/>
          <w:b/>
          <w:bCs/>
          <w:rtl/>
        </w:rPr>
        <w:t>פלוני נ' אלמוני</w:t>
      </w:r>
      <w:r>
        <w:rPr>
          <w:rFonts w:ascii="David" w:hAnsi="David"/>
          <w:rtl/>
        </w:rPr>
        <w:t xml:space="preserve"> (11</w:t>
      </w:r>
      <w:r w:rsidR="00403A05">
        <w:rPr>
          <w:rFonts w:ascii="David" w:hAnsi="David"/>
          <w:rtl/>
        </w:rPr>
        <w:t>.3.2022), מפי כב' השופט ש. שוחט</w:t>
      </w:r>
      <w:r w:rsidR="00403A05">
        <w:rPr>
          <w:rFonts w:ascii="David" w:hAnsi="David" w:hint="cs"/>
          <w:rtl/>
        </w:rPr>
        <w:t>.</w:t>
      </w:r>
      <w:r>
        <w:rPr>
          <w:rFonts w:ascii="David" w:hAnsi="David"/>
          <w:rtl/>
        </w:rPr>
        <w:t xml:space="preserve"> </w:t>
      </w:r>
    </w:p>
    <w:p w:rsidR="00403A05" w:rsidRDefault="00403A05" w:rsidP="00403A05">
      <w:pPr>
        <w:spacing w:line="360" w:lineRule="auto"/>
        <w:ind w:left="720"/>
        <w:jc w:val="both"/>
        <w:rPr>
          <w:rFonts w:ascii="David" w:hAnsi="David"/>
          <w:b/>
          <w:bCs/>
          <w:rtl/>
        </w:rPr>
      </w:pPr>
    </w:p>
    <w:p w:rsidR="0004565A" w:rsidRDefault="0004565A" w:rsidP="0004565A">
      <w:pPr>
        <w:pStyle w:val="Ruller40"/>
        <w:ind w:left="720"/>
        <w:rPr>
          <w:rFonts w:ascii="David" w:hAnsi="David" w:cs="David"/>
          <w:sz w:val="24"/>
          <w:szCs w:val="24"/>
        </w:rPr>
      </w:pPr>
      <w:r>
        <w:rPr>
          <w:rFonts w:ascii="David" w:hAnsi="David" w:cs="David"/>
          <w:sz w:val="24"/>
          <w:szCs w:val="24"/>
          <w:rtl/>
        </w:rPr>
        <w:t xml:space="preserve">הנה כי כן, המבחן הוא מבחן </w:t>
      </w:r>
      <w:r>
        <w:rPr>
          <w:rFonts w:ascii="David" w:hAnsi="David" w:cs="David"/>
          <w:b/>
          <w:bCs/>
          <w:sz w:val="24"/>
          <w:szCs w:val="24"/>
          <w:rtl/>
        </w:rPr>
        <w:t>עובדתי- פיזי טהור</w:t>
      </w:r>
      <w:r>
        <w:rPr>
          <w:rFonts w:ascii="David" w:hAnsi="David" w:cs="David"/>
          <w:sz w:val="24"/>
          <w:szCs w:val="24"/>
          <w:rtl/>
        </w:rPr>
        <w:t xml:space="preserve">, שבמסגרתו נבחנת גם כוונת ההורים כעובדה נוספת בין יתר המרכבים העובדתיים הרלוונטיים לקביעת מקום המגורים הרגיל של הקטין, אך אין היא בעלת משקל עצמאי וחיצוני לבחינה העובדתית, אלא מהווה חלק מהתמונה העובדתית בכללותה.  </w:t>
      </w:r>
    </w:p>
    <w:p w:rsidR="0004565A" w:rsidRDefault="0004565A" w:rsidP="0004565A">
      <w:pPr>
        <w:pStyle w:val="Ruller40"/>
        <w:rPr>
          <w:rFonts w:ascii="David" w:hAnsi="David" w:cs="David"/>
          <w:b/>
          <w:bCs/>
          <w:sz w:val="24"/>
          <w:szCs w:val="24"/>
          <w:rtl/>
        </w:rPr>
      </w:pPr>
    </w:p>
    <w:p w:rsidR="0004565A" w:rsidRDefault="0004565A" w:rsidP="00082F61">
      <w:pPr>
        <w:pStyle w:val="Ruller40"/>
        <w:ind w:left="720" w:hanging="720"/>
        <w:rPr>
          <w:rFonts w:ascii="David" w:hAnsi="David" w:cs="David"/>
          <w:sz w:val="24"/>
          <w:szCs w:val="24"/>
          <w:rtl/>
        </w:rPr>
      </w:pPr>
      <w:r>
        <w:rPr>
          <w:rFonts w:ascii="David" w:hAnsi="David" w:cs="David"/>
          <w:sz w:val="24"/>
          <w:szCs w:val="24"/>
          <w:rtl/>
        </w:rPr>
        <w:t>3.</w:t>
      </w:r>
      <w:r>
        <w:rPr>
          <w:rFonts w:ascii="David" w:hAnsi="David" w:cs="David"/>
          <w:sz w:val="24"/>
          <w:szCs w:val="24"/>
          <w:rtl/>
        </w:rPr>
        <w:tab/>
        <w:t>המערער ביקש לבסס גרסתו כי מקום מגוריה הרגיל של הקטינה הוא בישראל, על הטענה העובדתית לפיה הקטינה, הרכה בשנים, ילידת</w:t>
      </w:r>
      <w:r w:rsidR="00082F61">
        <w:rPr>
          <w:rFonts w:ascii="David" w:hAnsi="David" w:cs="David" w:hint="cs"/>
          <w:sz w:val="24"/>
          <w:szCs w:val="24"/>
          <w:rtl/>
        </w:rPr>
        <w:t xml:space="preserve"> 22.--.--</w:t>
      </w:r>
      <w:r>
        <w:rPr>
          <w:rFonts w:ascii="David" w:hAnsi="David" w:cs="David"/>
          <w:sz w:val="24"/>
          <w:szCs w:val="24"/>
          <w:rtl/>
        </w:rPr>
        <w:t xml:space="preserve">, שהתה זמן רב יותר מחייה בישראל מאשר בגרמניה. ואולם, נפסק לא אחת כי בחינת מקום המגורים הרגיל מתייחסת למדינה הנחטפת ולא למדינה החדשה, וכי אין לבחון אם המדינה </w:t>
      </w:r>
      <w:r>
        <w:rPr>
          <w:rFonts w:ascii="David" w:hAnsi="David" w:cs="David"/>
          <w:sz w:val="24"/>
          <w:szCs w:val="24"/>
          <w:rtl/>
        </w:rPr>
        <w:lastRenderedPageBreak/>
        <w:t>החדשה הפכה למקום המגורים הרגיל שלהם, בעקבות אי החזרתה קטנית למדינה הנחטפת</w:t>
      </w:r>
      <w:r>
        <w:rPr>
          <w:rFonts w:ascii="David" w:hAnsi="David" w:cs="David"/>
          <w:b/>
          <w:bCs/>
          <w:sz w:val="24"/>
          <w:szCs w:val="24"/>
          <w:rtl/>
        </w:rPr>
        <w:t xml:space="preserve"> </w:t>
      </w:r>
      <w:r>
        <w:rPr>
          <w:rFonts w:ascii="David" w:hAnsi="David" w:cs="David"/>
          <w:sz w:val="24"/>
          <w:szCs w:val="24"/>
          <w:rtl/>
        </w:rPr>
        <w:t xml:space="preserve">(ראו גם </w:t>
      </w:r>
      <w:r>
        <w:rPr>
          <w:rFonts w:ascii="David" w:hAnsi="David" w:cs="David"/>
          <w:b/>
          <w:bCs/>
          <w:sz w:val="24"/>
          <w:szCs w:val="24"/>
          <w:rtl/>
        </w:rPr>
        <w:t>עניין פלונית</w:t>
      </w:r>
      <w:r>
        <w:rPr>
          <w:rFonts w:ascii="David" w:hAnsi="David" w:cs="David"/>
          <w:sz w:val="24"/>
          <w:szCs w:val="24"/>
          <w:rtl/>
        </w:rPr>
        <w:t xml:space="preserve"> הנ"ל)</w:t>
      </w:r>
      <w:r>
        <w:rPr>
          <w:rFonts w:ascii="David" w:hAnsi="David" w:cs="David"/>
          <w:b/>
          <w:bCs/>
          <w:sz w:val="24"/>
          <w:szCs w:val="24"/>
          <w:rtl/>
        </w:rPr>
        <w:t xml:space="preserve">. </w:t>
      </w:r>
    </w:p>
    <w:p w:rsidR="0004565A" w:rsidRDefault="0004565A" w:rsidP="0004565A">
      <w:pPr>
        <w:pStyle w:val="Ruller40"/>
        <w:spacing w:line="240" w:lineRule="auto"/>
        <w:rPr>
          <w:rFonts w:ascii="David" w:hAnsi="David" w:cs="David"/>
          <w:sz w:val="24"/>
          <w:szCs w:val="24"/>
          <w:rtl/>
        </w:rPr>
      </w:pPr>
    </w:p>
    <w:p w:rsidR="0004565A" w:rsidRDefault="0004565A" w:rsidP="0004565A">
      <w:pPr>
        <w:pStyle w:val="Ruller40"/>
        <w:ind w:left="720"/>
        <w:rPr>
          <w:rFonts w:ascii="David" w:hAnsi="David" w:cs="David"/>
          <w:sz w:val="24"/>
          <w:szCs w:val="24"/>
          <w:rtl/>
        </w:rPr>
      </w:pPr>
      <w:r>
        <w:rPr>
          <w:rFonts w:ascii="David" w:hAnsi="David" w:cs="David"/>
          <w:sz w:val="24"/>
          <w:szCs w:val="24"/>
          <w:rtl/>
        </w:rPr>
        <w:t xml:space="preserve">כמו כן, המבחן שנקבע בפסיקה לבחינת מקום מגוריו הרגיל של הקטין אינו שם את הדגש על פרק הזמן בו שהה הקטין במדינה הנחטפת, מקל וחומר כאשר פרק הזמן המשמעותי של שהות הקטין במדינה זו הוא, בין השאר, תוצאה של מעשה החטיפה. </w:t>
      </w:r>
    </w:p>
    <w:p w:rsidR="0004565A" w:rsidRDefault="0004565A" w:rsidP="0004565A">
      <w:pPr>
        <w:pStyle w:val="Ruller40"/>
        <w:spacing w:line="240" w:lineRule="auto"/>
        <w:rPr>
          <w:rFonts w:ascii="David" w:hAnsi="David" w:cs="David"/>
          <w:b/>
          <w:bCs/>
          <w:sz w:val="24"/>
          <w:szCs w:val="24"/>
          <w:rtl/>
        </w:rPr>
      </w:pPr>
    </w:p>
    <w:p w:rsidR="0004565A" w:rsidRDefault="0004565A" w:rsidP="0004565A">
      <w:pPr>
        <w:pStyle w:val="Ruller40"/>
        <w:ind w:left="720"/>
        <w:rPr>
          <w:rFonts w:ascii="David" w:hAnsi="David" w:cs="David"/>
          <w:sz w:val="24"/>
          <w:szCs w:val="24"/>
          <w:rtl/>
        </w:rPr>
      </w:pPr>
      <w:r>
        <w:rPr>
          <w:rFonts w:ascii="David" w:hAnsi="David" w:cs="David"/>
          <w:sz w:val="24"/>
          <w:szCs w:val="24"/>
          <w:rtl/>
        </w:rPr>
        <w:t xml:space="preserve">ממכלול הראיות שהוגשו לתיק ונפרשו על ידי בית משפט קמא עולה, כי בשתי הזדמנויות בהן ביקרו המשיבה והקטינה בישראל, מנע המערער מהמשיבה מלשוב עם הקטינה לגרמניה, בהחזיקו ברשותו את הדרכונים של שתיהן ובסרבו להשיבן לה. כעולה מהראיות שנפרשו בפסק הדין קמא, אין חולק כי בביקורן הראשון בארץ בתאריך 12.6.2022 נעצרו האם והקטינה במשטרת הגבולות, בעת כניסתן ארצה. לדברי האם, שזכו לאמונו המלא של בית משפט קמא, היא והקטינה נאלצו להישאר בארץ עד לתאריך 16.12.2022, נוכח טענת המערער בפניה כי לא יוכלו לצאת מישראל עד להנפקת דרכון ישראלי לקטינה. עוד עולה כי לאחר קבלת הדרכון האמור בחודש דצמבר 2022, סירב תחילה המערער למסור למשיבה את הדרכונים, במטרה להותירן בישראל, </w:t>
      </w:r>
      <w:proofErr w:type="spellStart"/>
      <w:r>
        <w:rPr>
          <w:rFonts w:ascii="David" w:hAnsi="David" w:cs="David"/>
          <w:sz w:val="24"/>
          <w:szCs w:val="24"/>
          <w:rtl/>
        </w:rPr>
        <w:t>וכשלבסוף</w:t>
      </w:r>
      <w:proofErr w:type="spellEnd"/>
      <w:r>
        <w:rPr>
          <w:rFonts w:ascii="David" w:hAnsi="David" w:cs="David"/>
          <w:sz w:val="24"/>
          <w:szCs w:val="24"/>
          <w:rtl/>
        </w:rPr>
        <w:t xml:space="preserve"> הסכים למסרם חזרו המשיבה והקטינה לגרמניה. </w:t>
      </w:r>
    </w:p>
    <w:p w:rsidR="0004565A" w:rsidRPr="00543EFF" w:rsidRDefault="0004565A" w:rsidP="0004565A">
      <w:pPr>
        <w:pStyle w:val="Ruller40"/>
        <w:rPr>
          <w:rFonts w:ascii="David" w:hAnsi="David" w:cs="David"/>
          <w:sz w:val="16"/>
          <w:szCs w:val="16"/>
          <w:rtl/>
        </w:rPr>
      </w:pPr>
    </w:p>
    <w:p w:rsidR="0004565A" w:rsidRDefault="0004565A" w:rsidP="0004565A">
      <w:pPr>
        <w:pStyle w:val="Ruller40"/>
        <w:ind w:left="720"/>
        <w:rPr>
          <w:rFonts w:ascii="David" w:hAnsi="David" w:cs="David"/>
          <w:sz w:val="24"/>
          <w:szCs w:val="24"/>
          <w:rtl/>
        </w:rPr>
      </w:pPr>
      <w:r>
        <w:rPr>
          <w:rFonts w:ascii="David" w:hAnsi="David" w:cs="David"/>
          <w:sz w:val="24"/>
          <w:szCs w:val="24"/>
          <w:rtl/>
        </w:rPr>
        <w:t xml:space="preserve">ועוד, במהלך ביקור נוסף של האם והקטינה בישראל בחודש יוני 2023, שוב סירב המערער לתת למשיבה, שביקשה לשוב לגרמניה עם הקטינה, את הדרכונים של שתיהן שהוחזקו על ידו בכספת שלמשיבה לא הייתה גישה אליה. לבסוף הסכים לתת למשיבה  את  דרכונה בלבד, והיא חזרה לגרמניה, בעוד שהקטינה נשארה בישראל. אין חולק כי מיד עם הגעתה לגרמניה החלה האם בהליכים משפטיים לצורך החזרת הקטינה לגרמניה. </w:t>
      </w:r>
    </w:p>
    <w:p w:rsidR="0004565A" w:rsidRPr="00543EFF" w:rsidRDefault="0004565A" w:rsidP="0004565A">
      <w:pPr>
        <w:pStyle w:val="Ruller40"/>
        <w:rPr>
          <w:rFonts w:ascii="David" w:hAnsi="David" w:cs="David"/>
          <w:sz w:val="16"/>
          <w:szCs w:val="16"/>
          <w:rtl/>
        </w:rPr>
      </w:pPr>
    </w:p>
    <w:p w:rsidR="0004565A" w:rsidRDefault="0004565A" w:rsidP="0004565A">
      <w:pPr>
        <w:spacing w:line="360" w:lineRule="auto"/>
        <w:ind w:left="720"/>
        <w:jc w:val="both"/>
        <w:rPr>
          <w:rFonts w:ascii="David" w:hAnsi="David"/>
          <w:rtl/>
        </w:rPr>
      </w:pPr>
      <w:r>
        <w:rPr>
          <w:rFonts w:ascii="David" w:hAnsi="David"/>
          <w:rtl/>
        </w:rPr>
        <w:t xml:space="preserve">בנסיבות אלו, בהן המערער הוא אשר בהתנהלותו כפה על המשיבה את הישארותה של הקטינה בישראל, בניגוד לרצונה הבולט של האם, אין הוא יכול להיבנות מטענתו כי הקטינה שהתה משך חייה זמן רב יותר בארץ מאשר בגרמניה, כראיה להתקיימותו של התנאי. (ראו לעניין זה גם בע"מ 741/11 </w:t>
      </w:r>
      <w:r>
        <w:rPr>
          <w:rFonts w:ascii="David" w:hAnsi="David"/>
          <w:b/>
          <w:bCs/>
          <w:rtl/>
        </w:rPr>
        <w:t>פלונית נ' פלוני</w:t>
      </w:r>
      <w:r>
        <w:rPr>
          <w:rFonts w:ascii="David" w:hAnsi="David"/>
          <w:rtl/>
        </w:rPr>
        <w:t xml:space="preserve"> (17.5.2011), שם נדון עניינה של קטינה רכה בשנים ובית המשפט העליון אישר את קביעתו של בית משפט לענייני משפחה כי מקום מגוריה הרגיל של הקטינה עובר לחטיפתה הוא במדינה הנחטפת, ארה"ב). </w:t>
      </w:r>
    </w:p>
    <w:p w:rsidR="0004565A" w:rsidRDefault="0004565A" w:rsidP="0004565A">
      <w:pPr>
        <w:pStyle w:val="Ruller40"/>
        <w:spacing w:line="240" w:lineRule="auto"/>
        <w:rPr>
          <w:rFonts w:ascii="David" w:hAnsi="David" w:cs="David"/>
          <w:sz w:val="24"/>
          <w:szCs w:val="24"/>
          <w:rtl/>
        </w:rPr>
      </w:pPr>
    </w:p>
    <w:p w:rsidR="0004565A" w:rsidRDefault="0004565A" w:rsidP="0004565A">
      <w:pPr>
        <w:pStyle w:val="Ruller40"/>
        <w:ind w:left="720" w:hanging="720"/>
        <w:rPr>
          <w:rFonts w:ascii="David" w:hAnsi="David" w:cs="David"/>
          <w:sz w:val="24"/>
          <w:szCs w:val="24"/>
          <w:rtl/>
        </w:rPr>
      </w:pPr>
      <w:r>
        <w:rPr>
          <w:rFonts w:ascii="David" w:hAnsi="David" w:cs="David"/>
          <w:sz w:val="24"/>
          <w:szCs w:val="24"/>
          <w:rtl/>
        </w:rPr>
        <w:t>4.</w:t>
      </w:r>
      <w:r>
        <w:rPr>
          <w:rFonts w:ascii="David" w:hAnsi="David" w:cs="David"/>
          <w:sz w:val="24"/>
          <w:szCs w:val="24"/>
          <w:rtl/>
        </w:rPr>
        <w:tab/>
        <w:t xml:space="preserve">יתר על כן, טענותיהם העובדתיות של הצדדים נדונו על ידי בית משפט קמא, אשר עשה מלאכתו נאמנה והוציא תחת ידו פסק דין מפורט ומקיף. בסעיף 15 לפסק הדין קבע כדלהלן: </w:t>
      </w:r>
    </w:p>
    <w:p w:rsidR="0004565A" w:rsidRDefault="0004565A" w:rsidP="0004565A">
      <w:pPr>
        <w:pStyle w:val="Ruller40"/>
        <w:spacing w:line="240" w:lineRule="auto"/>
        <w:rPr>
          <w:rFonts w:ascii="David" w:hAnsi="David" w:cs="David"/>
          <w:sz w:val="24"/>
          <w:szCs w:val="24"/>
          <w:rtl/>
        </w:rPr>
      </w:pPr>
    </w:p>
    <w:p w:rsidR="0004565A" w:rsidRDefault="0004565A" w:rsidP="0004565A">
      <w:pPr>
        <w:pStyle w:val="Ruller40"/>
        <w:ind w:left="1440"/>
        <w:rPr>
          <w:rFonts w:ascii="David" w:hAnsi="David" w:cs="David"/>
          <w:b/>
          <w:bCs/>
          <w:sz w:val="24"/>
          <w:szCs w:val="24"/>
          <w:rtl/>
        </w:rPr>
      </w:pPr>
      <w:r>
        <w:rPr>
          <w:rFonts w:ascii="David" w:hAnsi="David" w:cs="David"/>
          <w:b/>
          <w:bCs/>
          <w:sz w:val="24"/>
          <w:szCs w:val="24"/>
          <w:rtl/>
        </w:rPr>
        <w:t xml:space="preserve">"לאחר שבחנתי מכלול טענות הצדדים והראיות שהוצגו בפני, שוכנעתי כי על פי המבחן העובדתי – הפיזי טהור, תוך הבאה בחשבון של כוונת ההורים כעובדה נוספת בין יתר המרכיבים העובדתיים, מקום המגורים הרגיל של הקטינה היה בברלין גרמניה". </w:t>
      </w:r>
    </w:p>
    <w:p w:rsidR="0004565A" w:rsidRDefault="0004565A" w:rsidP="0004565A">
      <w:pPr>
        <w:pStyle w:val="Ruller40"/>
        <w:spacing w:line="240" w:lineRule="auto"/>
        <w:ind w:left="720"/>
        <w:rPr>
          <w:rFonts w:ascii="David" w:hAnsi="David" w:cs="David"/>
          <w:sz w:val="24"/>
          <w:szCs w:val="24"/>
          <w:rtl/>
        </w:rPr>
      </w:pPr>
    </w:p>
    <w:p w:rsidR="0004565A" w:rsidRDefault="0004565A" w:rsidP="00082F61">
      <w:pPr>
        <w:pStyle w:val="Ruller40"/>
        <w:ind w:left="720"/>
        <w:rPr>
          <w:rFonts w:ascii="David" w:hAnsi="David" w:cs="David"/>
          <w:b/>
          <w:bCs/>
          <w:sz w:val="24"/>
          <w:szCs w:val="24"/>
          <w:rtl/>
        </w:rPr>
      </w:pPr>
      <w:r>
        <w:rPr>
          <w:rFonts w:ascii="David" w:hAnsi="David" w:cs="David"/>
          <w:sz w:val="24"/>
          <w:szCs w:val="24"/>
          <w:rtl/>
        </w:rPr>
        <w:t>בית משפט קמא פירט בהרחבה את הראיות והעדויות שהביאוהו למסקנתו זו,  ובכללן של אלו העובדה כי בתאריך</w:t>
      </w:r>
      <w:r w:rsidR="00082F61">
        <w:rPr>
          <w:rFonts w:ascii="David" w:hAnsi="David" w:cs="David" w:hint="cs"/>
          <w:sz w:val="24"/>
          <w:szCs w:val="24"/>
          <w:rtl/>
        </w:rPr>
        <w:t xml:space="preserve"> 22.--.-- </w:t>
      </w:r>
      <w:r>
        <w:rPr>
          <w:rFonts w:ascii="David" w:hAnsi="David" w:cs="David"/>
          <w:sz w:val="24"/>
          <w:szCs w:val="24"/>
          <w:rtl/>
        </w:rPr>
        <w:t xml:space="preserve">, כחודש לאחר לידתה של הקטינה, </w:t>
      </w:r>
      <w:r>
        <w:rPr>
          <w:rFonts w:ascii="David" w:hAnsi="David" w:cs="David"/>
          <w:b/>
          <w:bCs/>
          <w:sz w:val="24"/>
          <w:szCs w:val="24"/>
          <w:rtl/>
        </w:rPr>
        <w:t>הוצא לה דרכון גרמני לפיו מקום מגוריה של הקטינה הוא בברלין בגרמניה</w:t>
      </w:r>
      <w:r>
        <w:rPr>
          <w:rFonts w:ascii="David" w:hAnsi="David" w:cs="David"/>
          <w:sz w:val="24"/>
          <w:szCs w:val="24"/>
          <w:rtl/>
        </w:rPr>
        <w:t xml:space="preserve">; עובדה אשר אושרה על ידי המערער בעדותו. לכך מתווספת התרשמותו של בית המשפט כי </w:t>
      </w:r>
      <w:r>
        <w:rPr>
          <w:rFonts w:ascii="David" w:hAnsi="David" w:cs="David"/>
          <w:b/>
          <w:bCs/>
          <w:sz w:val="24"/>
          <w:szCs w:val="24"/>
          <w:rtl/>
        </w:rPr>
        <w:t>הלכה למעשה הציג המערער בפני התובעת ובני משפחתה מצג לפיו מקום המגורים של המשפחה הוא בגרמניה,</w:t>
      </w:r>
      <w:r>
        <w:rPr>
          <w:rFonts w:ascii="David" w:hAnsi="David" w:cs="David"/>
          <w:sz w:val="24"/>
          <w:szCs w:val="24"/>
          <w:rtl/>
        </w:rPr>
        <w:t xml:space="preserve"> בהצהירו בפני התובעת כי יש לו התחייבויות בישראל ולאחר שיסיימן הוא יגיע להשתקע בגרמניה יחד עם המשיבה והקטינה. </w:t>
      </w:r>
    </w:p>
    <w:p w:rsidR="0004565A" w:rsidRDefault="0004565A" w:rsidP="0004565A">
      <w:pPr>
        <w:pStyle w:val="Ruller40"/>
        <w:ind w:left="720"/>
        <w:rPr>
          <w:rFonts w:ascii="David" w:hAnsi="David" w:cs="David"/>
          <w:b/>
          <w:bCs/>
          <w:sz w:val="24"/>
          <w:szCs w:val="24"/>
          <w:rtl/>
        </w:rPr>
      </w:pPr>
    </w:p>
    <w:p w:rsidR="0004565A" w:rsidRDefault="0004565A" w:rsidP="00403A05">
      <w:pPr>
        <w:pStyle w:val="Ruller40"/>
        <w:ind w:left="720"/>
        <w:rPr>
          <w:rFonts w:ascii="David" w:hAnsi="David" w:cs="David"/>
          <w:sz w:val="24"/>
          <w:szCs w:val="24"/>
          <w:rtl/>
        </w:rPr>
      </w:pPr>
      <w:r>
        <w:rPr>
          <w:rFonts w:ascii="David" w:hAnsi="David" w:cs="David"/>
          <w:b/>
          <w:bCs/>
          <w:sz w:val="24"/>
          <w:szCs w:val="24"/>
          <w:rtl/>
        </w:rPr>
        <w:t xml:space="preserve">בית משפט קמא ראה </w:t>
      </w:r>
      <w:proofErr w:type="spellStart"/>
      <w:r>
        <w:rPr>
          <w:rFonts w:ascii="David" w:hAnsi="David" w:cs="David"/>
          <w:b/>
          <w:bCs/>
          <w:sz w:val="24"/>
          <w:szCs w:val="24"/>
          <w:rtl/>
        </w:rPr>
        <w:t>ליתן</w:t>
      </w:r>
      <w:proofErr w:type="spellEnd"/>
      <w:r>
        <w:rPr>
          <w:rFonts w:ascii="David" w:hAnsi="David" w:cs="David"/>
          <w:b/>
          <w:bCs/>
          <w:sz w:val="24"/>
          <w:szCs w:val="24"/>
          <w:rtl/>
        </w:rPr>
        <w:t xml:space="preserve"> אמון בעדותה של המשיבה לפיה כל העת הבהירה בפני המערער כי מקום המגורים של המשפחה הוא בגרמניה</w:t>
      </w:r>
      <w:r>
        <w:rPr>
          <w:rFonts w:ascii="David" w:hAnsi="David" w:cs="David"/>
          <w:sz w:val="24"/>
          <w:szCs w:val="24"/>
          <w:rtl/>
        </w:rPr>
        <w:t xml:space="preserve"> וכי אין לה כל רצון להתגורר בישראל; עדות אשר נתמכה במלואה בעדויותיהן של שכנתה של המשיבה בברלין, וכן של אמה ושל אחותה של המשיבה. כן נסמך בית משפט קמא לעניין מצגו האמור של המערער על תעודת ברור פרטים על המערער ממנה עולה כי משנת 2018 (השנה בה הצדדים התארסו) ועד לשנת 2023 (השנה בה פרץ הסכסוך) יצא ה</w:t>
      </w:r>
      <w:r w:rsidR="00403A05">
        <w:rPr>
          <w:rFonts w:ascii="David" w:hAnsi="David" w:cs="David" w:hint="cs"/>
          <w:sz w:val="24"/>
          <w:szCs w:val="24"/>
          <w:rtl/>
        </w:rPr>
        <w:t>מערער</w:t>
      </w:r>
      <w:r>
        <w:rPr>
          <w:rFonts w:ascii="David" w:hAnsi="David" w:cs="David"/>
          <w:sz w:val="24"/>
          <w:szCs w:val="24"/>
          <w:rtl/>
        </w:rPr>
        <w:t xml:space="preserve"> מן הארץ 12 פעמים, באופן התואם את גרסת המשיבה לאירועים.  </w:t>
      </w:r>
    </w:p>
    <w:p w:rsidR="0004565A" w:rsidRDefault="0004565A" w:rsidP="0004565A">
      <w:pPr>
        <w:pStyle w:val="Ruller40"/>
        <w:ind w:left="720"/>
        <w:rPr>
          <w:rFonts w:ascii="David" w:hAnsi="David" w:cs="David"/>
          <w:sz w:val="24"/>
          <w:szCs w:val="24"/>
          <w:rtl/>
        </w:rPr>
      </w:pPr>
    </w:p>
    <w:p w:rsidR="0004565A" w:rsidRDefault="0004565A" w:rsidP="0004565A">
      <w:pPr>
        <w:pStyle w:val="Ruller40"/>
        <w:ind w:left="720"/>
        <w:rPr>
          <w:rFonts w:ascii="David" w:hAnsi="David" w:cs="David"/>
          <w:b/>
          <w:bCs/>
          <w:sz w:val="24"/>
          <w:szCs w:val="24"/>
          <w:rtl/>
        </w:rPr>
      </w:pPr>
      <w:r>
        <w:rPr>
          <w:rFonts w:ascii="David" w:hAnsi="David" w:cs="David"/>
          <w:sz w:val="24"/>
          <w:szCs w:val="24"/>
          <w:rtl/>
        </w:rPr>
        <w:tab/>
        <w:t xml:space="preserve">עוד נתן בית משפט קמא משקל לנתונים עובדתיים לפיהם </w:t>
      </w:r>
      <w:r>
        <w:rPr>
          <w:rFonts w:ascii="David" w:hAnsi="David" w:cs="David"/>
          <w:b/>
          <w:bCs/>
          <w:sz w:val="24"/>
          <w:szCs w:val="24"/>
          <w:rtl/>
        </w:rPr>
        <w:t xml:space="preserve">הקטינה זכאית לקצבת ילדים בגרמניה ממועד לידתה, כי בוטחה בביטוח בריאות וסיעוד בגרמניה, וכן לאישור רופא ילדים לפיו הקטינה מטופלת על ידו באופן קבוע מאז מאי 2023. </w:t>
      </w:r>
    </w:p>
    <w:p w:rsidR="0004565A" w:rsidRDefault="0004565A" w:rsidP="0004565A">
      <w:pPr>
        <w:pStyle w:val="Ruller40"/>
        <w:ind w:left="720"/>
        <w:rPr>
          <w:rFonts w:ascii="David" w:hAnsi="David" w:cs="David"/>
          <w:sz w:val="24"/>
          <w:szCs w:val="24"/>
          <w:rtl/>
        </w:rPr>
      </w:pPr>
    </w:p>
    <w:p w:rsidR="00712425" w:rsidRDefault="0004565A" w:rsidP="00403A05">
      <w:pPr>
        <w:pStyle w:val="Ruller40"/>
        <w:ind w:left="720"/>
        <w:rPr>
          <w:rFonts w:ascii="David" w:hAnsi="David" w:cs="David"/>
          <w:sz w:val="24"/>
          <w:szCs w:val="24"/>
          <w:rtl/>
        </w:rPr>
      </w:pPr>
      <w:r>
        <w:rPr>
          <w:rFonts w:ascii="David" w:hAnsi="David" w:cs="David"/>
          <w:sz w:val="24"/>
          <w:szCs w:val="24"/>
          <w:rtl/>
        </w:rPr>
        <w:t xml:space="preserve">בנוסף לכל אלו, </w:t>
      </w:r>
      <w:r>
        <w:rPr>
          <w:rFonts w:ascii="David" w:hAnsi="David" w:cs="David"/>
          <w:b/>
          <w:bCs/>
          <w:sz w:val="24"/>
          <w:szCs w:val="24"/>
          <w:rtl/>
        </w:rPr>
        <w:t>נדרש בית משפט קמא בפירוט לנסיבות שהביאו להנפקת תעודת זהות ישראלית לקטינה וקבלת ויזה למשיבה</w:t>
      </w:r>
      <w:r>
        <w:rPr>
          <w:rFonts w:ascii="David" w:hAnsi="David" w:cs="David"/>
          <w:sz w:val="24"/>
          <w:szCs w:val="24"/>
          <w:rtl/>
        </w:rPr>
        <w:t>, שאין חולק כי מקורן בעיכובן של האם והקטינה במשטרת הגבולות, כאמור, בעת ביקורן בישראל בתאריך 12.6.23.</w:t>
      </w:r>
      <w:r w:rsidR="00712425">
        <w:rPr>
          <w:rFonts w:ascii="David" w:hAnsi="David" w:cs="David" w:hint="cs"/>
          <w:sz w:val="24"/>
          <w:szCs w:val="24"/>
          <w:rtl/>
        </w:rPr>
        <w:t xml:space="preserve"> </w:t>
      </w:r>
      <w:r>
        <w:rPr>
          <w:rFonts w:ascii="David" w:hAnsi="David" w:cs="David"/>
          <w:sz w:val="24"/>
          <w:szCs w:val="24"/>
          <w:rtl/>
        </w:rPr>
        <w:t xml:space="preserve">בית משפט קמא לא ראה </w:t>
      </w:r>
      <w:proofErr w:type="spellStart"/>
      <w:r>
        <w:rPr>
          <w:rFonts w:ascii="David" w:hAnsi="David" w:cs="David"/>
          <w:sz w:val="24"/>
          <w:szCs w:val="24"/>
          <w:rtl/>
        </w:rPr>
        <w:t>ליתן</w:t>
      </w:r>
      <w:proofErr w:type="spellEnd"/>
      <w:r>
        <w:rPr>
          <w:rFonts w:ascii="David" w:hAnsi="David" w:cs="David"/>
          <w:sz w:val="24"/>
          <w:szCs w:val="24"/>
          <w:rtl/>
        </w:rPr>
        <w:t xml:space="preserve"> אמון בגרסתו, חסרת העקביות, של המערער</w:t>
      </w:r>
      <w:r w:rsidR="00712425">
        <w:rPr>
          <w:rFonts w:ascii="David" w:hAnsi="David" w:cs="David" w:hint="cs"/>
          <w:sz w:val="24"/>
          <w:szCs w:val="24"/>
          <w:rtl/>
        </w:rPr>
        <w:t xml:space="preserve"> בכללותה, והן</w:t>
      </w:r>
      <w:r>
        <w:rPr>
          <w:rFonts w:ascii="David" w:hAnsi="David" w:cs="David"/>
          <w:sz w:val="24"/>
          <w:szCs w:val="24"/>
          <w:rtl/>
        </w:rPr>
        <w:t xml:space="preserve"> ביחס למסרונים שהציגה האם לעניין מצג השווא שהציג בפניה לפיו מקום מגוריו הקבוע הוא בגרמניה, ולטענתו כי מסרונים אלו זויפו על ידי האם.</w:t>
      </w:r>
    </w:p>
    <w:p w:rsidR="00712425" w:rsidRPr="00712425" w:rsidRDefault="00712425" w:rsidP="0004565A">
      <w:pPr>
        <w:pStyle w:val="Ruller40"/>
        <w:ind w:left="720"/>
        <w:rPr>
          <w:rFonts w:ascii="David" w:hAnsi="David" w:cs="David"/>
          <w:sz w:val="14"/>
          <w:szCs w:val="14"/>
          <w:rtl/>
        </w:rPr>
      </w:pPr>
    </w:p>
    <w:p w:rsidR="0004565A" w:rsidRDefault="0004565A" w:rsidP="00712425">
      <w:pPr>
        <w:pStyle w:val="Ruller40"/>
        <w:ind w:left="720"/>
        <w:rPr>
          <w:rFonts w:ascii="David" w:hAnsi="David" w:cs="David"/>
          <w:sz w:val="24"/>
          <w:szCs w:val="24"/>
          <w:rtl/>
        </w:rPr>
      </w:pPr>
      <w:r>
        <w:rPr>
          <w:rFonts w:ascii="David" w:hAnsi="David" w:cs="David"/>
          <w:sz w:val="24"/>
          <w:szCs w:val="24"/>
          <w:rtl/>
        </w:rPr>
        <w:t xml:space="preserve">לכך מתווסף הנתון העובדתי לפיו </w:t>
      </w:r>
      <w:r>
        <w:rPr>
          <w:rFonts w:ascii="David" w:hAnsi="David" w:cs="David"/>
          <w:b/>
          <w:bCs/>
          <w:sz w:val="24"/>
          <w:szCs w:val="24"/>
          <w:rtl/>
        </w:rPr>
        <w:t>בחודש מרץ 2023 בעת שהייתו של המערער בברלין נחתם חוזה שכירות בברלין</w:t>
      </w:r>
      <w:r>
        <w:rPr>
          <w:rFonts w:ascii="David" w:hAnsi="David" w:cs="David"/>
          <w:sz w:val="24"/>
          <w:szCs w:val="24"/>
          <w:rtl/>
        </w:rPr>
        <w:t xml:space="preserve">, עליו חתומה המשיבה והמערער אינו מצוין </w:t>
      </w:r>
      <w:r>
        <w:rPr>
          <w:rFonts w:ascii="David" w:hAnsi="David" w:cs="David"/>
          <w:sz w:val="24"/>
          <w:szCs w:val="24"/>
          <w:rtl/>
        </w:rPr>
        <w:lastRenderedPageBreak/>
        <w:t>בו. לעניין זה ראה בית המשפט לבכר את גרסתה של המשיבה כי המערער נכח במעמד חתימתו של ההסכם האמור</w:t>
      </w:r>
      <w:r w:rsidR="00712425">
        <w:rPr>
          <w:rFonts w:ascii="David" w:hAnsi="David" w:cs="David" w:hint="cs"/>
          <w:sz w:val="24"/>
          <w:szCs w:val="24"/>
          <w:rtl/>
        </w:rPr>
        <w:t xml:space="preserve"> -</w:t>
      </w:r>
      <w:r>
        <w:rPr>
          <w:rFonts w:ascii="David" w:hAnsi="David" w:cs="David"/>
          <w:sz w:val="24"/>
          <w:szCs w:val="24"/>
          <w:rtl/>
        </w:rPr>
        <w:t xml:space="preserve"> משמצא אותה </w:t>
      </w:r>
      <w:r w:rsidR="00712425">
        <w:rPr>
          <w:rFonts w:ascii="David" w:hAnsi="David" w:cs="David" w:hint="cs"/>
          <w:sz w:val="24"/>
          <w:szCs w:val="24"/>
          <w:rtl/>
        </w:rPr>
        <w:t xml:space="preserve">מהימנה </w:t>
      </w:r>
      <w:r>
        <w:rPr>
          <w:rFonts w:ascii="David" w:hAnsi="David" w:cs="David"/>
          <w:sz w:val="24"/>
          <w:szCs w:val="24"/>
          <w:rtl/>
        </w:rPr>
        <w:t>ומשנתמכה בעדויותיהן של השכנה והאחות</w:t>
      </w:r>
      <w:r w:rsidR="00712425">
        <w:rPr>
          <w:rFonts w:ascii="David" w:hAnsi="David" w:cs="David" w:hint="cs"/>
          <w:sz w:val="24"/>
          <w:szCs w:val="24"/>
          <w:rtl/>
        </w:rPr>
        <w:t xml:space="preserve"> -</w:t>
      </w:r>
      <w:r>
        <w:rPr>
          <w:rFonts w:ascii="David" w:hAnsi="David" w:cs="David"/>
          <w:sz w:val="24"/>
          <w:szCs w:val="24"/>
          <w:rtl/>
        </w:rPr>
        <w:t xml:space="preserve"> על פני גרסתו של המערער כי דבר חתימת ההסכם נודע לו לראשונה מכתב התביעה שהוגש לבית משפט קמא.</w:t>
      </w:r>
    </w:p>
    <w:p w:rsidR="0004565A" w:rsidRDefault="0004565A" w:rsidP="0004565A">
      <w:pPr>
        <w:pStyle w:val="Ruller40"/>
        <w:ind w:left="720"/>
        <w:rPr>
          <w:rFonts w:ascii="David" w:hAnsi="David" w:cs="David"/>
          <w:sz w:val="16"/>
          <w:szCs w:val="16"/>
          <w:rtl/>
        </w:rPr>
      </w:pPr>
    </w:p>
    <w:p w:rsidR="0004565A" w:rsidRDefault="0004565A" w:rsidP="00F43DD9">
      <w:pPr>
        <w:pStyle w:val="Ruller40"/>
        <w:ind w:left="720"/>
        <w:rPr>
          <w:rFonts w:ascii="David" w:hAnsi="David" w:cs="David"/>
          <w:sz w:val="24"/>
          <w:szCs w:val="24"/>
          <w:rtl/>
        </w:rPr>
      </w:pPr>
      <w:r>
        <w:rPr>
          <w:rFonts w:ascii="David" w:hAnsi="David" w:cs="David"/>
          <w:sz w:val="24"/>
          <w:szCs w:val="24"/>
          <w:rtl/>
        </w:rPr>
        <w:t xml:space="preserve">לכך מתווספת העובדה, אשר נתמכת בראיות חיצוניות, לפיה </w:t>
      </w:r>
      <w:r>
        <w:rPr>
          <w:rFonts w:ascii="David" w:hAnsi="David" w:cs="David"/>
          <w:b/>
          <w:bCs/>
          <w:sz w:val="24"/>
          <w:szCs w:val="24"/>
          <w:rtl/>
        </w:rPr>
        <w:t>בחודש מרץ 2023, בעת שהותו של המערער בברלין, בוצע רישום של הקטינה לפעוטון בגרמניה</w:t>
      </w:r>
      <w:r>
        <w:rPr>
          <w:rFonts w:ascii="David" w:hAnsi="David" w:cs="David"/>
          <w:sz w:val="24"/>
          <w:szCs w:val="24"/>
          <w:rtl/>
        </w:rPr>
        <w:t>, ו</w:t>
      </w:r>
      <w:r w:rsidR="00F43DD9">
        <w:rPr>
          <w:rFonts w:ascii="David" w:hAnsi="David" w:cs="David" w:hint="cs"/>
          <w:sz w:val="24"/>
          <w:szCs w:val="24"/>
          <w:rtl/>
        </w:rPr>
        <w:t xml:space="preserve">בית משפט קמא התרשם ממהימנות </w:t>
      </w:r>
      <w:r>
        <w:rPr>
          <w:rFonts w:ascii="David" w:hAnsi="David" w:cs="David"/>
          <w:sz w:val="24"/>
          <w:szCs w:val="24"/>
          <w:rtl/>
        </w:rPr>
        <w:t>עדות</w:t>
      </w:r>
      <w:r w:rsidR="00F43DD9">
        <w:rPr>
          <w:rFonts w:ascii="David" w:hAnsi="David" w:cs="David" w:hint="cs"/>
          <w:sz w:val="24"/>
          <w:szCs w:val="24"/>
          <w:rtl/>
        </w:rPr>
        <w:t>ה של</w:t>
      </w:r>
      <w:r>
        <w:rPr>
          <w:rFonts w:ascii="David" w:hAnsi="David" w:cs="David"/>
          <w:sz w:val="24"/>
          <w:szCs w:val="24"/>
          <w:rtl/>
        </w:rPr>
        <w:t xml:space="preserve"> המשיבה כי היא והמערער ניגשו יחד לרשום את הקטינה לגן.</w:t>
      </w:r>
    </w:p>
    <w:p w:rsidR="0004565A" w:rsidRDefault="0004565A" w:rsidP="0004565A">
      <w:pPr>
        <w:pStyle w:val="Ruller40"/>
        <w:rPr>
          <w:rFonts w:ascii="David" w:hAnsi="David" w:cs="David"/>
          <w:sz w:val="16"/>
          <w:szCs w:val="16"/>
          <w:rtl/>
        </w:rPr>
      </w:pPr>
      <w:r>
        <w:rPr>
          <w:rFonts w:ascii="David" w:hAnsi="David" w:cs="David"/>
          <w:sz w:val="24"/>
          <w:szCs w:val="24"/>
          <w:rtl/>
        </w:rPr>
        <w:t xml:space="preserve"> </w:t>
      </w:r>
    </w:p>
    <w:p w:rsidR="0004565A" w:rsidRDefault="0004565A" w:rsidP="00403A05">
      <w:pPr>
        <w:pStyle w:val="Ruller40"/>
        <w:ind w:left="720"/>
        <w:rPr>
          <w:rFonts w:ascii="David" w:hAnsi="David" w:cs="David"/>
          <w:sz w:val="24"/>
          <w:szCs w:val="24"/>
          <w:rtl/>
        </w:rPr>
      </w:pPr>
      <w:r>
        <w:rPr>
          <w:rFonts w:ascii="David" w:hAnsi="David" w:cs="David"/>
          <w:sz w:val="24"/>
          <w:szCs w:val="24"/>
          <w:rtl/>
        </w:rPr>
        <w:t xml:space="preserve">עוד קבע בית משפט קמא, על יסוד ראיות שהובאו בפניו, כי </w:t>
      </w:r>
      <w:r>
        <w:rPr>
          <w:rFonts w:ascii="David" w:hAnsi="David" w:cs="David"/>
          <w:b/>
          <w:bCs/>
          <w:sz w:val="24"/>
          <w:szCs w:val="24"/>
          <w:rtl/>
        </w:rPr>
        <w:t>המערער והמשיבה הסכימו כי ישובו עם הקטינה</w:t>
      </w:r>
      <w:r w:rsidR="00403A05">
        <w:rPr>
          <w:rFonts w:ascii="David" w:hAnsi="David" w:cs="David"/>
          <w:b/>
          <w:bCs/>
          <w:sz w:val="24"/>
          <w:szCs w:val="24"/>
          <w:rtl/>
        </w:rPr>
        <w:t xml:space="preserve"> </w:t>
      </w:r>
      <w:r w:rsidR="00403A05">
        <w:rPr>
          <w:rFonts w:ascii="David" w:hAnsi="David" w:cs="David" w:hint="cs"/>
          <w:b/>
          <w:bCs/>
          <w:sz w:val="24"/>
          <w:szCs w:val="24"/>
          <w:rtl/>
        </w:rPr>
        <w:t>ל</w:t>
      </w:r>
      <w:r>
        <w:rPr>
          <w:rFonts w:ascii="David" w:hAnsi="David" w:cs="David"/>
          <w:b/>
          <w:bCs/>
          <w:sz w:val="24"/>
          <w:szCs w:val="24"/>
          <w:rtl/>
        </w:rPr>
        <w:t>גרמניה לאחר ביקור בישראל ובטורקיה ביוני 2023,</w:t>
      </w:r>
      <w:r>
        <w:rPr>
          <w:rFonts w:ascii="David" w:hAnsi="David" w:cs="David"/>
          <w:sz w:val="24"/>
          <w:szCs w:val="24"/>
          <w:rtl/>
        </w:rPr>
        <w:t xml:space="preserve"> שלאחריו כזכור נותרה הקטינה בישראל, בנסיבות בהן סירב המערער לתת למשיבה את דרכונה של הקטינה שהוחזק על ידו, כאמור. ודוק, גם ביחס לאירועים שנגעו לסיבת עזיבתה של האם את הארץ לא ראה בית משפט </w:t>
      </w:r>
      <w:proofErr w:type="spellStart"/>
      <w:r>
        <w:rPr>
          <w:rFonts w:ascii="David" w:hAnsi="David" w:cs="David"/>
          <w:sz w:val="24"/>
          <w:szCs w:val="24"/>
          <w:rtl/>
        </w:rPr>
        <w:t>ליתן</w:t>
      </w:r>
      <w:proofErr w:type="spellEnd"/>
      <w:r>
        <w:rPr>
          <w:rFonts w:ascii="David" w:hAnsi="David" w:cs="David"/>
          <w:sz w:val="24"/>
          <w:szCs w:val="24"/>
          <w:rtl/>
        </w:rPr>
        <w:t xml:space="preserve"> אמון </w:t>
      </w:r>
      <w:r w:rsidR="00403A05">
        <w:rPr>
          <w:rFonts w:ascii="David" w:hAnsi="David" w:cs="David" w:hint="cs"/>
          <w:sz w:val="24"/>
          <w:szCs w:val="24"/>
          <w:rtl/>
        </w:rPr>
        <w:t>ב</w:t>
      </w:r>
      <w:r>
        <w:rPr>
          <w:rFonts w:ascii="David" w:hAnsi="David" w:cs="David"/>
          <w:sz w:val="24"/>
          <w:szCs w:val="24"/>
          <w:rtl/>
        </w:rPr>
        <w:t>גרסתו של המערער בקבעו: "</w:t>
      </w:r>
      <w:r>
        <w:rPr>
          <w:rFonts w:ascii="David" w:hAnsi="David" w:cs="David"/>
          <w:b/>
          <w:bCs/>
          <w:sz w:val="24"/>
          <w:szCs w:val="24"/>
          <w:rtl/>
        </w:rPr>
        <w:t>גרסתו של הנתבע בפניי הייתה מתחמקת, הנתבע מציג גרסאות סותרות, וכן עדותו התאפיינה בסתירות שאינן ניתנות ליישוב</w:t>
      </w:r>
      <w:r>
        <w:rPr>
          <w:rFonts w:ascii="David" w:hAnsi="David" w:cs="David"/>
          <w:sz w:val="24"/>
          <w:szCs w:val="24"/>
          <w:rtl/>
        </w:rPr>
        <w:t>". (סעיף 36 סיפא לפסק הדין קמא)</w:t>
      </w:r>
    </w:p>
    <w:p w:rsidR="0004565A" w:rsidRDefault="0004565A" w:rsidP="0004565A">
      <w:pPr>
        <w:pStyle w:val="Ruller40"/>
        <w:spacing w:line="240" w:lineRule="auto"/>
        <w:rPr>
          <w:rFonts w:ascii="David" w:hAnsi="David" w:cs="David"/>
          <w:sz w:val="24"/>
          <w:szCs w:val="24"/>
          <w:rtl/>
        </w:rPr>
      </w:pPr>
    </w:p>
    <w:p w:rsidR="0004565A" w:rsidRDefault="0004565A" w:rsidP="0004565A">
      <w:pPr>
        <w:pStyle w:val="Ruller40"/>
        <w:rPr>
          <w:rFonts w:ascii="David" w:hAnsi="David" w:cs="David"/>
          <w:sz w:val="12"/>
          <w:szCs w:val="12"/>
          <w:rtl/>
        </w:rPr>
      </w:pPr>
    </w:p>
    <w:p w:rsidR="0004565A" w:rsidRDefault="0004565A" w:rsidP="00403A05">
      <w:pPr>
        <w:pStyle w:val="Ruller40"/>
        <w:ind w:left="720" w:hanging="720"/>
        <w:rPr>
          <w:rFonts w:ascii="David" w:hAnsi="David" w:cs="David"/>
          <w:sz w:val="24"/>
          <w:szCs w:val="24"/>
          <w:rtl/>
        </w:rPr>
      </w:pPr>
      <w:r>
        <w:rPr>
          <w:rFonts w:ascii="David" w:hAnsi="David" w:cs="David"/>
          <w:sz w:val="24"/>
          <w:szCs w:val="24"/>
          <w:rtl/>
        </w:rPr>
        <w:t>5.</w:t>
      </w:r>
      <w:r>
        <w:rPr>
          <w:rFonts w:ascii="David" w:hAnsi="David" w:cs="David"/>
          <w:sz w:val="24"/>
          <w:szCs w:val="24"/>
          <w:rtl/>
        </w:rPr>
        <w:tab/>
        <w:t xml:space="preserve">נוכח כל האמור לעיל, שוכנעתי גם אני, </w:t>
      </w:r>
      <w:r w:rsidRPr="00F67EC4">
        <w:rPr>
          <w:rFonts w:ascii="David" w:hAnsi="David" w:cs="David"/>
          <w:sz w:val="24"/>
          <w:szCs w:val="24"/>
          <w:rtl/>
        </w:rPr>
        <w:t xml:space="preserve">כמו חברי כב' </w:t>
      </w:r>
      <w:proofErr w:type="spellStart"/>
      <w:r w:rsidRPr="00F67EC4">
        <w:rPr>
          <w:rFonts w:ascii="David" w:hAnsi="David" w:cs="David"/>
          <w:sz w:val="24"/>
          <w:szCs w:val="24"/>
          <w:rtl/>
        </w:rPr>
        <w:t>הש</w:t>
      </w:r>
      <w:proofErr w:type="spellEnd"/>
      <w:r w:rsidRPr="00F67EC4">
        <w:rPr>
          <w:rFonts w:ascii="David" w:hAnsi="David" w:cs="David"/>
          <w:sz w:val="24"/>
          <w:szCs w:val="24"/>
          <w:rtl/>
        </w:rPr>
        <w:t xml:space="preserve">' </w:t>
      </w:r>
      <w:proofErr w:type="spellStart"/>
      <w:r w:rsidRPr="00F67EC4">
        <w:rPr>
          <w:rFonts w:ascii="David" w:hAnsi="David" w:cs="David"/>
          <w:sz w:val="24"/>
          <w:szCs w:val="24"/>
          <w:rtl/>
        </w:rPr>
        <w:t>סילמן</w:t>
      </w:r>
      <w:proofErr w:type="spellEnd"/>
      <w:r w:rsidRPr="00F67EC4">
        <w:rPr>
          <w:rFonts w:ascii="David" w:hAnsi="David" w:cs="David"/>
          <w:sz w:val="24"/>
          <w:szCs w:val="24"/>
          <w:rtl/>
        </w:rPr>
        <w:t>,</w:t>
      </w:r>
      <w:r>
        <w:rPr>
          <w:rFonts w:ascii="David" w:hAnsi="David" w:cs="David"/>
          <w:sz w:val="24"/>
          <w:szCs w:val="24"/>
          <w:rtl/>
        </w:rPr>
        <w:t xml:space="preserve"> כי אין מקום להתערב בקביעותיו העובדתיות של בית משפט קמא, המעוגנ</w:t>
      </w:r>
      <w:r w:rsidR="00403A05">
        <w:rPr>
          <w:rFonts w:ascii="David" w:hAnsi="David" w:cs="David" w:hint="cs"/>
          <w:sz w:val="24"/>
          <w:szCs w:val="24"/>
          <w:rtl/>
        </w:rPr>
        <w:t>ו</w:t>
      </w:r>
      <w:r>
        <w:rPr>
          <w:rFonts w:ascii="David" w:hAnsi="David" w:cs="David"/>
          <w:sz w:val="24"/>
          <w:szCs w:val="24"/>
          <w:rtl/>
        </w:rPr>
        <w:t xml:space="preserve">ת היטב בראיות שהובאו בפניו, כי המשיבה עמדה בנטל להוכיח כי מקום מגוריה הרגיל של הקטינה היה גרמניה. </w:t>
      </w:r>
    </w:p>
    <w:p w:rsidR="0004565A" w:rsidRDefault="00F43DD9" w:rsidP="0004565A">
      <w:pPr>
        <w:pStyle w:val="Ruller40"/>
        <w:ind w:left="720" w:hanging="720"/>
        <w:rPr>
          <w:rFonts w:ascii="David" w:hAnsi="David" w:cs="David"/>
          <w:sz w:val="24"/>
          <w:szCs w:val="24"/>
          <w:rtl/>
        </w:rPr>
      </w:pPr>
      <w:r>
        <w:rPr>
          <w:rFonts w:ascii="David" w:hAnsi="David" w:cs="David"/>
          <w:sz w:val="24"/>
          <w:szCs w:val="24"/>
          <w:rtl/>
        </w:rPr>
        <w:tab/>
      </w:r>
    </w:p>
    <w:p w:rsidR="00F43DD9" w:rsidRDefault="00F43DD9" w:rsidP="0004565A">
      <w:pPr>
        <w:pStyle w:val="Ruller40"/>
        <w:ind w:left="720" w:hanging="720"/>
        <w:rPr>
          <w:rFonts w:ascii="David" w:hAnsi="David" w:cs="David"/>
          <w:sz w:val="24"/>
          <w:szCs w:val="24"/>
          <w:rtl/>
        </w:rPr>
      </w:pPr>
      <w:r>
        <w:rPr>
          <w:rFonts w:ascii="David" w:hAnsi="David" w:cs="David"/>
          <w:sz w:val="24"/>
          <w:szCs w:val="24"/>
          <w:rtl/>
        </w:rPr>
        <w:tab/>
      </w:r>
    </w:p>
    <w:p w:rsidR="0004565A" w:rsidRDefault="0004565A" w:rsidP="0004565A">
      <w:pPr>
        <w:pStyle w:val="Ruller40"/>
        <w:ind w:left="720" w:hanging="720"/>
        <w:rPr>
          <w:rFonts w:ascii="David" w:hAnsi="David" w:cs="David"/>
          <w:sz w:val="24"/>
          <w:szCs w:val="24"/>
          <w:rtl/>
        </w:rPr>
      </w:pPr>
      <w:r>
        <w:rPr>
          <w:rFonts w:ascii="David" w:hAnsi="David" w:cs="David"/>
          <w:sz w:val="24"/>
          <w:szCs w:val="24"/>
          <w:rtl/>
        </w:rPr>
        <w:tab/>
      </w:r>
      <w:r>
        <w:rPr>
          <w:rFonts w:ascii="David" w:hAnsi="David" w:cs="David"/>
          <w:sz w:val="24"/>
          <w:szCs w:val="24"/>
          <w:rtl/>
        </w:rPr>
        <w:tab/>
      </w:r>
      <w:r>
        <w:rPr>
          <w:rFonts w:ascii="David" w:hAnsi="David" w:cs="David"/>
          <w:sz w:val="24"/>
          <w:szCs w:val="24"/>
          <w:rtl/>
        </w:rPr>
        <w:tab/>
      </w:r>
      <w:r>
        <w:rPr>
          <w:rFonts w:ascii="David" w:hAnsi="David" w:cs="David"/>
          <w:sz w:val="24"/>
          <w:szCs w:val="24"/>
          <w:rtl/>
        </w:rPr>
        <w:tab/>
      </w:r>
    </w:p>
    <w:tbl>
      <w:tblPr>
        <w:tblStyle w:val="a9"/>
        <w:bidiVisual/>
        <w:tblW w:w="0" w:type="dxa"/>
        <w:tblInd w:w="59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368"/>
      </w:tblGrid>
      <w:tr w:rsidR="009B3324" w:rsidTr="009B3324">
        <w:tc>
          <w:tcPr>
            <w:tcW w:w="2368" w:type="dxa"/>
            <w:tcBorders>
              <w:top w:val="nil"/>
              <w:left w:val="nil"/>
              <w:bottom w:val="single" w:sz="4" w:space="0" w:color="auto"/>
              <w:right w:val="nil"/>
            </w:tcBorders>
            <w:vAlign w:val="bottom"/>
            <w:hideMark/>
          </w:tcPr>
          <w:p w:rsidR="009B3324" w:rsidRDefault="009B3324">
            <w:pPr>
              <w:jc w:val="center"/>
              <w:rPr>
                <w:rFonts w:ascii="David" w:hAnsi="David"/>
                <w:b/>
                <w:bCs/>
                <w:noProof w:val="0"/>
                <w:sz w:val="20"/>
                <w:szCs w:val="20"/>
              </w:rPr>
            </w:pPr>
            <w:r>
              <w:rPr>
                <w:rFonts w:ascii="David" w:hAnsi="David"/>
                <w:sz w:val="20"/>
                <w:szCs w:val="20"/>
              </w:rPr>
              <w:drawing>
                <wp:inline distT="0" distB="0" distL="0" distR="0">
                  <wp:extent cx="923290" cy="1069975"/>
                  <wp:effectExtent l="0" t="0" r="0" b="0"/>
                  <wp:docPr id="5" name="תמונה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23290" cy="1069975"/>
                          </a:xfrm>
                          <a:prstGeom prst="rect">
                            <a:avLst/>
                          </a:prstGeom>
                          <a:noFill/>
                          <a:ln>
                            <a:noFill/>
                          </a:ln>
                        </pic:spPr>
                      </pic:pic>
                    </a:graphicData>
                  </a:graphic>
                </wp:inline>
              </w:drawing>
            </w:r>
          </w:p>
        </w:tc>
      </w:tr>
      <w:tr w:rsidR="009B3324" w:rsidTr="009B3324">
        <w:tc>
          <w:tcPr>
            <w:tcW w:w="2368" w:type="dxa"/>
            <w:tcBorders>
              <w:top w:val="single" w:sz="4" w:space="0" w:color="auto"/>
              <w:left w:val="nil"/>
              <w:bottom w:val="nil"/>
              <w:right w:val="nil"/>
            </w:tcBorders>
            <w:hideMark/>
          </w:tcPr>
          <w:p w:rsidR="009B3324" w:rsidRDefault="009B3324">
            <w:pPr>
              <w:jc w:val="center"/>
              <w:rPr>
                <w:rFonts w:ascii="David" w:hAnsi="David"/>
                <w:b/>
                <w:bCs/>
                <w:sz w:val="20"/>
                <w:szCs w:val="20"/>
              </w:rPr>
            </w:pPr>
            <w:r>
              <w:rPr>
                <w:rFonts w:ascii="David" w:hAnsi="David"/>
                <w:b/>
                <w:bCs/>
                <w:sz w:val="20"/>
                <w:szCs w:val="20"/>
                <w:rtl/>
              </w:rPr>
              <w:t>ס. ג'יוסי, שופט</w:t>
            </w:r>
            <w:r>
              <w:rPr>
                <w:rFonts w:ascii="David" w:hAnsi="David"/>
                <w:b/>
                <w:bCs/>
                <w:sz w:val="20"/>
                <w:szCs w:val="20"/>
                <w:rtl/>
              </w:rPr>
              <w:br/>
              <w:t>[אב"ד]</w:t>
            </w:r>
          </w:p>
        </w:tc>
      </w:tr>
    </w:tbl>
    <w:p w:rsidR="0004565A" w:rsidRDefault="0004565A" w:rsidP="0004565A">
      <w:pPr>
        <w:pStyle w:val="Ruller40"/>
        <w:ind w:left="720" w:hanging="720"/>
        <w:rPr>
          <w:rFonts w:ascii="David" w:hAnsi="David" w:cs="David"/>
          <w:sz w:val="24"/>
          <w:szCs w:val="24"/>
          <w:rtl/>
        </w:rPr>
      </w:pPr>
    </w:p>
    <w:p w:rsidR="00630E23" w:rsidRDefault="00630E23" w:rsidP="0004565A">
      <w:pPr>
        <w:pStyle w:val="Ruller40"/>
        <w:ind w:left="720" w:hanging="720"/>
        <w:rPr>
          <w:rFonts w:ascii="David" w:hAnsi="David" w:cs="David"/>
          <w:sz w:val="24"/>
          <w:szCs w:val="24"/>
          <w:rtl/>
        </w:rPr>
      </w:pPr>
    </w:p>
    <w:p w:rsidR="00630E23" w:rsidRDefault="00630E23" w:rsidP="0004565A">
      <w:pPr>
        <w:pStyle w:val="Ruller40"/>
        <w:ind w:left="720" w:hanging="720"/>
        <w:rPr>
          <w:rFonts w:ascii="David" w:hAnsi="David" w:cs="David"/>
          <w:sz w:val="24"/>
          <w:szCs w:val="24"/>
          <w:rtl/>
        </w:rPr>
      </w:pPr>
    </w:p>
    <w:p w:rsidR="00630E23" w:rsidRDefault="00630E23" w:rsidP="0004565A">
      <w:pPr>
        <w:pStyle w:val="Ruller40"/>
        <w:ind w:left="720" w:hanging="720"/>
        <w:rPr>
          <w:rFonts w:ascii="David" w:hAnsi="David" w:cs="David"/>
          <w:sz w:val="24"/>
          <w:szCs w:val="24"/>
          <w:rtl/>
        </w:rPr>
      </w:pPr>
    </w:p>
    <w:p w:rsidR="00630E23" w:rsidRDefault="00630E23" w:rsidP="0004565A">
      <w:pPr>
        <w:pStyle w:val="Ruller40"/>
        <w:ind w:left="720" w:hanging="720"/>
        <w:rPr>
          <w:rFonts w:ascii="David" w:hAnsi="David" w:cs="David"/>
          <w:sz w:val="24"/>
          <w:szCs w:val="24"/>
          <w:rtl/>
        </w:rPr>
      </w:pPr>
    </w:p>
    <w:p w:rsidR="009B3324" w:rsidRDefault="009B3324" w:rsidP="009B3324">
      <w:pPr>
        <w:spacing w:line="360" w:lineRule="auto"/>
        <w:ind w:right="-426"/>
        <w:jc w:val="both"/>
        <w:rPr>
          <w:rFonts w:ascii="David" w:hAnsi="David"/>
          <w:b/>
          <w:bCs/>
          <w:noProof w:val="0"/>
          <w:u w:val="single"/>
        </w:rPr>
      </w:pPr>
      <w:r>
        <w:rPr>
          <w:rFonts w:ascii="David" w:hAnsi="David" w:hint="cs"/>
          <w:b/>
          <w:bCs/>
          <w:u w:val="single"/>
          <w:rtl/>
        </w:rPr>
        <w:t xml:space="preserve">השופטת עפרה אטיאס: </w:t>
      </w:r>
    </w:p>
    <w:p w:rsidR="009B3324" w:rsidRDefault="009B3324" w:rsidP="009B3324">
      <w:pPr>
        <w:spacing w:line="360" w:lineRule="auto"/>
        <w:ind w:left="720" w:hanging="720"/>
        <w:jc w:val="both"/>
        <w:rPr>
          <w:rFonts w:ascii="David" w:hAnsi="David"/>
          <w:rtl/>
        </w:rPr>
      </w:pPr>
    </w:p>
    <w:p w:rsidR="009B3324" w:rsidRDefault="00A120ED" w:rsidP="00630E23">
      <w:pPr>
        <w:spacing w:line="360" w:lineRule="auto"/>
        <w:jc w:val="both"/>
        <w:rPr>
          <w:rFonts w:ascii="David" w:hAnsi="David"/>
          <w:rtl/>
        </w:rPr>
      </w:pPr>
      <w:r w:rsidRPr="00630E23">
        <w:rPr>
          <w:rFonts w:ascii="David" w:hAnsi="David" w:hint="cs"/>
          <w:rtl/>
        </w:rPr>
        <w:t xml:space="preserve">אני מצטרפת </w:t>
      </w:r>
      <w:r w:rsidR="00630E23" w:rsidRPr="00630E23">
        <w:rPr>
          <w:rFonts w:ascii="David" w:hAnsi="David" w:hint="cs"/>
          <w:rtl/>
        </w:rPr>
        <w:t>לחוות דעתו של חברי, כב' השופט סילמן, וכן להנמקתו של האב"</w:t>
      </w:r>
      <w:r w:rsidR="00630E23">
        <w:rPr>
          <w:rFonts w:ascii="David" w:hAnsi="David" w:hint="cs"/>
          <w:rtl/>
        </w:rPr>
        <w:t>ד, כב' השופט ג'יוסי.</w:t>
      </w:r>
    </w:p>
    <w:p w:rsidR="009B3324" w:rsidRDefault="009B3324" w:rsidP="009B3324">
      <w:pPr>
        <w:spacing w:line="360" w:lineRule="auto"/>
        <w:ind w:left="720" w:hanging="720"/>
        <w:jc w:val="both"/>
        <w:rPr>
          <w:rFonts w:ascii="David" w:hAnsi="David"/>
          <w:rtl/>
        </w:rPr>
      </w:pPr>
    </w:p>
    <w:tbl>
      <w:tblPr>
        <w:tblStyle w:val="a9"/>
        <w:bidiVisual/>
        <w:tblW w:w="0" w:type="dxa"/>
        <w:tblInd w:w="5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761"/>
      </w:tblGrid>
      <w:tr w:rsidR="009B3324" w:rsidTr="009B3324">
        <w:tc>
          <w:tcPr>
            <w:tcW w:w="2761" w:type="dxa"/>
            <w:tcBorders>
              <w:top w:val="nil"/>
              <w:left w:val="nil"/>
              <w:bottom w:val="single" w:sz="4" w:space="0" w:color="auto"/>
              <w:right w:val="nil"/>
            </w:tcBorders>
            <w:vAlign w:val="bottom"/>
            <w:hideMark/>
          </w:tcPr>
          <w:p w:rsidR="009B3324" w:rsidRDefault="009B3324">
            <w:pPr>
              <w:jc w:val="center"/>
              <w:rPr>
                <w:rFonts w:ascii="David" w:hAnsi="David"/>
                <w:b/>
                <w:bCs/>
                <w:sz w:val="20"/>
                <w:szCs w:val="20"/>
                <w:rtl/>
              </w:rPr>
            </w:pPr>
            <w:r>
              <w:rPr>
                <w:rFonts w:ascii="David" w:hAnsi="David"/>
                <w:sz w:val="20"/>
                <w:szCs w:val="20"/>
              </w:rPr>
              <w:drawing>
                <wp:inline distT="0" distB="0" distL="0" distR="0">
                  <wp:extent cx="612775" cy="716280"/>
                  <wp:effectExtent l="0" t="0" r="0" b="7620"/>
                  <wp:docPr id="6" name="תמונה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775" cy="716280"/>
                          </a:xfrm>
                          <a:prstGeom prst="rect">
                            <a:avLst/>
                          </a:prstGeom>
                          <a:noFill/>
                          <a:ln>
                            <a:noFill/>
                          </a:ln>
                        </pic:spPr>
                      </pic:pic>
                    </a:graphicData>
                  </a:graphic>
                </wp:inline>
              </w:drawing>
            </w:r>
          </w:p>
        </w:tc>
      </w:tr>
      <w:tr w:rsidR="009B3324" w:rsidTr="009B3324">
        <w:tc>
          <w:tcPr>
            <w:tcW w:w="2761" w:type="dxa"/>
            <w:tcBorders>
              <w:top w:val="single" w:sz="4" w:space="0" w:color="auto"/>
              <w:left w:val="nil"/>
              <w:bottom w:val="nil"/>
              <w:right w:val="nil"/>
            </w:tcBorders>
            <w:hideMark/>
          </w:tcPr>
          <w:p w:rsidR="009B3324" w:rsidRDefault="009B3324">
            <w:pPr>
              <w:spacing w:line="360" w:lineRule="auto"/>
              <w:jc w:val="center"/>
              <w:rPr>
                <w:rFonts w:ascii="David" w:hAnsi="David"/>
                <w:b/>
                <w:bCs/>
                <w:sz w:val="20"/>
                <w:szCs w:val="20"/>
              </w:rPr>
            </w:pPr>
            <w:r>
              <w:rPr>
                <w:rFonts w:ascii="David" w:hAnsi="David"/>
                <w:b/>
                <w:bCs/>
                <w:sz w:val="20"/>
                <w:szCs w:val="20"/>
                <w:rtl/>
              </w:rPr>
              <w:t>ע. אטיאס, שופטת</w:t>
            </w:r>
          </w:p>
        </w:tc>
      </w:tr>
    </w:tbl>
    <w:p w:rsidR="009B3324" w:rsidRDefault="009B3324" w:rsidP="009B3324">
      <w:pPr>
        <w:spacing w:line="360" w:lineRule="auto"/>
        <w:ind w:right="-426"/>
        <w:jc w:val="both"/>
        <w:rPr>
          <w:rFonts w:ascii="David" w:hAnsi="David"/>
        </w:rPr>
      </w:pPr>
    </w:p>
    <w:p w:rsidR="009B3324" w:rsidRDefault="009B3324" w:rsidP="009B3324">
      <w:pPr>
        <w:spacing w:line="360" w:lineRule="auto"/>
        <w:ind w:right="-426"/>
        <w:jc w:val="both"/>
        <w:rPr>
          <w:rFonts w:ascii="David" w:hAnsi="David"/>
          <w:rtl/>
        </w:rPr>
      </w:pPr>
    </w:p>
    <w:p w:rsidR="009B3324" w:rsidRDefault="009B3324" w:rsidP="009B3324">
      <w:pPr>
        <w:spacing w:line="360" w:lineRule="auto"/>
        <w:ind w:right="-426"/>
        <w:jc w:val="both"/>
        <w:rPr>
          <w:rFonts w:ascii="David" w:hAnsi="David"/>
          <w:rtl/>
        </w:rPr>
      </w:pPr>
      <w:r>
        <w:rPr>
          <w:rFonts w:ascii="David" w:hAnsi="David"/>
          <w:rtl/>
        </w:rPr>
        <w:t>הוחלט בהתאם לפסק דינו של השופט ניצן סילמן לדחות את הערעור.</w:t>
      </w:r>
    </w:p>
    <w:p w:rsidR="009B3324" w:rsidRDefault="009B3324" w:rsidP="009B3324">
      <w:pPr>
        <w:spacing w:line="360" w:lineRule="auto"/>
        <w:ind w:right="-426"/>
        <w:jc w:val="both"/>
        <w:rPr>
          <w:rFonts w:ascii="David" w:hAnsi="David"/>
          <w:rtl/>
        </w:rPr>
      </w:pPr>
    </w:p>
    <w:p w:rsidR="009B3324" w:rsidRDefault="009B3324" w:rsidP="00F70154">
      <w:pPr>
        <w:spacing w:line="360" w:lineRule="auto"/>
        <w:ind w:right="-426"/>
        <w:jc w:val="both"/>
        <w:rPr>
          <w:rFonts w:ascii="David" w:hAnsi="David"/>
          <w:rtl/>
        </w:rPr>
      </w:pPr>
      <w:r w:rsidRPr="00403A05">
        <w:rPr>
          <w:rFonts w:ascii="David" w:hAnsi="David" w:hint="cs"/>
          <w:rtl/>
        </w:rPr>
        <w:t>המערער יישא בהוצאות המשיבה ושכ"ט עו</w:t>
      </w:r>
      <w:r w:rsidR="00A120ED" w:rsidRPr="00403A05">
        <w:rPr>
          <w:rFonts w:ascii="David" w:hAnsi="David" w:hint="cs"/>
          <w:rtl/>
        </w:rPr>
        <w:t>"</w:t>
      </w:r>
      <w:r w:rsidRPr="00403A05">
        <w:rPr>
          <w:rFonts w:ascii="David" w:hAnsi="David" w:hint="cs"/>
          <w:rtl/>
        </w:rPr>
        <w:t>ד בסך של 20,000 ₪</w:t>
      </w:r>
      <w:r w:rsidR="00F70154" w:rsidRPr="00403A05">
        <w:rPr>
          <w:rFonts w:ascii="David" w:hAnsi="David" w:hint="cs"/>
          <w:rtl/>
        </w:rPr>
        <w:t xml:space="preserve"> כולל מע"מ</w:t>
      </w:r>
      <w:r w:rsidRPr="00403A05">
        <w:rPr>
          <w:rFonts w:ascii="David" w:hAnsi="David" w:hint="cs"/>
          <w:rtl/>
        </w:rPr>
        <w:t>.</w:t>
      </w:r>
      <w:r w:rsidR="00A120ED" w:rsidRPr="00403A05">
        <w:rPr>
          <w:rFonts w:ascii="David" w:hAnsi="David" w:hint="cs"/>
          <w:rtl/>
        </w:rPr>
        <w:t xml:space="preserve"> </w:t>
      </w:r>
      <w:r w:rsidR="00F70154" w:rsidRPr="00403A05">
        <w:rPr>
          <w:rFonts w:ascii="David" w:hAnsi="David" w:hint="cs"/>
          <w:rtl/>
        </w:rPr>
        <w:t xml:space="preserve">לשם כך, </w:t>
      </w:r>
      <w:r w:rsidR="00A120ED" w:rsidRPr="00403A05">
        <w:rPr>
          <w:rFonts w:ascii="David" w:hAnsi="David" w:hint="cs"/>
          <w:rtl/>
        </w:rPr>
        <w:t xml:space="preserve">המזכירות תעביר </w:t>
      </w:r>
      <w:r w:rsidR="00E33ADC" w:rsidRPr="00403A05">
        <w:rPr>
          <w:rFonts w:ascii="David" w:hAnsi="David" w:hint="cs"/>
          <w:rtl/>
        </w:rPr>
        <w:t>ל</w:t>
      </w:r>
      <w:r w:rsidR="00F70154" w:rsidRPr="00403A05">
        <w:rPr>
          <w:rFonts w:ascii="David" w:hAnsi="David" w:hint="cs"/>
          <w:rtl/>
        </w:rPr>
        <w:t>ב"כ ה</w:t>
      </w:r>
      <w:r w:rsidR="00E33ADC" w:rsidRPr="00403A05">
        <w:rPr>
          <w:rFonts w:ascii="David" w:hAnsi="David" w:hint="cs"/>
          <w:rtl/>
        </w:rPr>
        <w:t xml:space="preserve">משיבה </w:t>
      </w:r>
      <w:r w:rsidR="00A120ED" w:rsidRPr="00403A05">
        <w:rPr>
          <w:rFonts w:ascii="David" w:hAnsi="David" w:hint="cs"/>
          <w:rtl/>
        </w:rPr>
        <w:t xml:space="preserve">את הערבון שהופקד </w:t>
      </w:r>
      <w:r w:rsidR="00E33ADC" w:rsidRPr="00403A05">
        <w:rPr>
          <w:rFonts w:ascii="David" w:hAnsi="David" w:hint="cs"/>
          <w:rtl/>
        </w:rPr>
        <w:t>בתיק,</w:t>
      </w:r>
      <w:r w:rsidR="00F70154" w:rsidRPr="00403A05">
        <w:rPr>
          <w:rFonts w:ascii="David" w:hAnsi="David" w:hint="cs"/>
          <w:rtl/>
        </w:rPr>
        <w:t xml:space="preserve"> </w:t>
      </w:r>
      <w:r w:rsidR="00A120ED" w:rsidRPr="00403A05">
        <w:rPr>
          <w:rFonts w:ascii="David" w:hAnsi="David" w:hint="cs"/>
          <w:rtl/>
        </w:rPr>
        <w:t>ויתר</w:t>
      </w:r>
      <w:r w:rsidR="00C17CAE" w:rsidRPr="00403A05">
        <w:rPr>
          <w:rFonts w:ascii="David" w:hAnsi="David" w:hint="cs"/>
          <w:rtl/>
        </w:rPr>
        <w:t xml:space="preserve">ת הסכום </w:t>
      </w:r>
      <w:r w:rsidR="00A120ED" w:rsidRPr="00403A05">
        <w:rPr>
          <w:rFonts w:ascii="David" w:hAnsi="David" w:hint="cs"/>
          <w:rtl/>
        </w:rPr>
        <w:t>תש</w:t>
      </w:r>
      <w:r w:rsidR="00D93D81" w:rsidRPr="00403A05">
        <w:rPr>
          <w:rFonts w:ascii="David" w:hAnsi="David" w:hint="cs"/>
          <w:rtl/>
        </w:rPr>
        <w:t>ו</w:t>
      </w:r>
      <w:r w:rsidR="00A120ED" w:rsidRPr="00403A05">
        <w:rPr>
          <w:rFonts w:ascii="David" w:hAnsi="David" w:hint="cs"/>
          <w:rtl/>
        </w:rPr>
        <w:t xml:space="preserve">לם על ידי המערער </w:t>
      </w:r>
      <w:r w:rsidR="00F70154" w:rsidRPr="00403A05">
        <w:rPr>
          <w:rFonts w:ascii="David" w:hAnsi="David" w:hint="cs"/>
          <w:rtl/>
        </w:rPr>
        <w:t xml:space="preserve">לב"כ המשיבה בתוך 30 </w:t>
      </w:r>
      <w:r w:rsidR="00A120ED" w:rsidRPr="00403A05">
        <w:rPr>
          <w:rFonts w:ascii="David" w:hAnsi="David" w:hint="cs"/>
          <w:rtl/>
        </w:rPr>
        <w:t xml:space="preserve"> יום מהיום.</w:t>
      </w:r>
      <w:r w:rsidR="00A120ED">
        <w:rPr>
          <w:rFonts w:ascii="David" w:hAnsi="David" w:hint="cs"/>
          <w:rtl/>
        </w:rPr>
        <w:t xml:space="preserve"> </w:t>
      </w:r>
    </w:p>
    <w:p w:rsidR="009B3324" w:rsidRDefault="009B3324" w:rsidP="009B3324">
      <w:pPr>
        <w:spacing w:line="360" w:lineRule="auto"/>
        <w:ind w:right="-426"/>
        <w:jc w:val="both"/>
        <w:rPr>
          <w:rFonts w:ascii="David" w:hAnsi="David"/>
        </w:rPr>
      </w:pPr>
    </w:p>
    <w:p w:rsidR="0004565A" w:rsidRPr="00C17CAE" w:rsidRDefault="00C17CAE" w:rsidP="00F70154">
      <w:pPr>
        <w:spacing w:line="360" w:lineRule="auto"/>
        <w:jc w:val="both"/>
        <w:rPr>
          <w:rFonts w:ascii="Arial" w:hAnsi="Arial"/>
          <w:b/>
          <w:bCs/>
          <w:noProof w:val="0"/>
          <w:u w:val="single"/>
          <w:rtl/>
        </w:rPr>
      </w:pPr>
      <w:r w:rsidRPr="00403A05">
        <w:rPr>
          <w:rFonts w:ascii="Arial" w:hAnsi="Arial" w:hint="cs"/>
          <w:b/>
          <w:bCs/>
          <w:noProof w:val="0"/>
          <w:u w:val="single"/>
          <w:rtl/>
        </w:rPr>
        <w:t>המזכירות תעביר עו</w:t>
      </w:r>
      <w:r w:rsidR="00F70154" w:rsidRPr="00403A05">
        <w:rPr>
          <w:rFonts w:ascii="Arial" w:hAnsi="Arial" w:hint="cs"/>
          <w:b/>
          <w:bCs/>
          <w:noProof w:val="0"/>
          <w:u w:val="single"/>
          <w:rtl/>
        </w:rPr>
        <w:t xml:space="preserve">תק מפסק הדין לב"כ הצדדים </w:t>
      </w:r>
      <w:proofErr w:type="spellStart"/>
      <w:r w:rsidR="00F70154" w:rsidRPr="00403A05">
        <w:rPr>
          <w:rFonts w:ascii="Arial" w:hAnsi="Arial" w:hint="cs"/>
          <w:b/>
          <w:bCs/>
          <w:noProof w:val="0"/>
          <w:u w:val="single"/>
          <w:rtl/>
        </w:rPr>
        <w:t>לאפוטרופא</w:t>
      </w:r>
      <w:proofErr w:type="spellEnd"/>
      <w:r w:rsidRPr="00403A05">
        <w:rPr>
          <w:rFonts w:ascii="Arial" w:hAnsi="Arial" w:hint="cs"/>
          <w:b/>
          <w:bCs/>
          <w:noProof w:val="0"/>
          <w:u w:val="single"/>
          <w:rtl/>
        </w:rPr>
        <w:t xml:space="preserve"> לדין ולרשות המרכזית בישראל.</w:t>
      </w:r>
      <w:r w:rsidRPr="00C17CAE">
        <w:rPr>
          <w:rFonts w:ascii="Arial" w:hAnsi="Arial" w:hint="cs"/>
          <w:b/>
          <w:bCs/>
          <w:noProof w:val="0"/>
          <w:u w:val="single"/>
          <w:rtl/>
        </w:rPr>
        <w:t xml:space="preserve"> </w:t>
      </w:r>
    </w:p>
    <w:p w:rsidR="00C17CAE" w:rsidRDefault="00C17CAE">
      <w:pPr>
        <w:spacing w:line="360" w:lineRule="auto"/>
        <w:jc w:val="both"/>
        <w:rPr>
          <w:rFonts w:ascii="Arial" w:hAnsi="Arial"/>
          <w:noProof w:val="0"/>
          <w:rtl/>
        </w:rPr>
      </w:pPr>
    </w:p>
    <w:p w:rsidR="00C17CAE" w:rsidRDefault="00C17CAE" w:rsidP="00C17CAE">
      <w:pPr>
        <w:spacing w:line="360" w:lineRule="auto"/>
        <w:ind w:right="-426"/>
        <w:jc w:val="both"/>
        <w:rPr>
          <w:rFonts w:ascii="Arial" w:hAnsi="Arial" w:cstheme="minorBidi"/>
          <w:sz w:val="22"/>
          <w:szCs w:val="22"/>
          <w:rtl/>
        </w:rPr>
      </w:pPr>
      <w:r>
        <w:rPr>
          <w:rFonts w:ascii="Arial" w:hAnsi="Arial"/>
          <w:rtl/>
        </w:rPr>
        <w:t>פסק הדין ניתן לפרסום במתכונת בה נחתם ללא ציון שמות הצדדים וכל פרט שיכול להביא לזיהויים.</w:t>
      </w:r>
    </w:p>
    <w:p w:rsidR="00C17CAE" w:rsidRPr="00C770E3" w:rsidRDefault="00C17CAE">
      <w:pPr>
        <w:spacing w:line="360" w:lineRule="auto"/>
        <w:jc w:val="both"/>
        <w:rPr>
          <w:rFonts w:ascii="Arial" w:hAnsi="Arial"/>
          <w:noProof w:val="0"/>
          <w:rtl/>
        </w:rPr>
      </w:pPr>
    </w:p>
    <w:p w:rsidR="00694556" w:rsidRDefault="0043502B" w:rsidP="00630E23">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r w:rsidR="00630E23">
        <w:rPr>
          <w:rFonts w:ascii="Arial" w:hAnsi="Arial"/>
          <w:noProof w:val="0"/>
          <w:rtl/>
        </w:rPr>
        <w:t>כ"</w:t>
      </w:r>
      <w:r w:rsidR="00630E23">
        <w:rPr>
          <w:rFonts w:ascii="Arial" w:hAnsi="Arial" w:hint="cs"/>
          <w:noProof w:val="0"/>
          <w:rtl/>
        </w:rPr>
        <w:t xml:space="preserve">ו </w:t>
      </w:r>
      <w:r>
        <w:rPr>
          <w:rFonts w:ascii="Arial" w:hAnsi="Arial"/>
          <w:noProof w:val="0"/>
          <w:rtl/>
        </w:rPr>
        <w:t>סיוון תשפ"ד</w:t>
      </w:r>
      <w:r w:rsidR="00005C8B">
        <w:rPr>
          <w:rFonts w:ascii="Arial" w:hAnsi="Arial"/>
          <w:noProof w:val="0"/>
          <w:rtl/>
        </w:rPr>
        <w:t xml:space="preserve">, </w:t>
      </w:r>
      <w:r>
        <w:rPr>
          <w:rFonts w:ascii="Arial" w:hAnsi="Arial"/>
          <w:noProof w:val="0"/>
          <w:rtl/>
        </w:rPr>
        <w:t>0</w:t>
      </w:r>
      <w:r w:rsidR="00630E23">
        <w:rPr>
          <w:rFonts w:ascii="Arial" w:hAnsi="Arial" w:hint="cs"/>
          <w:noProof w:val="0"/>
          <w:rtl/>
        </w:rPr>
        <w:t>2</w:t>
      </w:r>
      <w:r>
        <w:rPr>
          <w:rFonts w:ascii="Arial" w:hAnsi="Arial"/>
          <w:noProof w:val="0"/>
          <w:rtl/>
        </w:rPr>
        <w:t xml:space="preserve"> יולי 2024</w:t>
      </w:r>
      <w:r w:rsidR="00005C8B">
        <w:rPr>
          <w:rFonts w:ascii="Arial" w:hAnsi="Arial"/>
          <w:noProof w:val="0"/>
          <w:rtl/>
        </w:rPr>
        <w:t>, בהעדר הצדדים.</w:t>
      </w:r>
    </w:p>
    <w:p w:rsidR="00C43648" w:rsidRDefault="005A3D02"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9B3324" w:rsidRDefault="00BD6531" w:rsidP="009B3324">
      <w:pPr>
        <w:tabs>
          <w:tab w:val="left" w:pos="2553"/>
        </w:tabs>
        <w:rPr>
          <w:rtl/>
        </w:rPr>
      </w:pPr>
      <w:r>
        <w:rPr>
          <w:rFonts w:hint="cs"/>
          <w:rtl/>
        </w:rPr>
        <w:tab/>
      </w:r>
      <w:r>
        <w:rPr>
          <w:rFonts w:hint="cs"/>
          <w:rtl/>
        </w:rPr>
        <w:tab/>
      </w:r>
      <w:r>
        <w:rPr>
          <w:rFonts w:hint="cs"/>
          <w:rtl/>
        </w:rPr>
        <w:tab/>
      </w:r>
      <w:r>
        <w:rPr>
          <w:rFonts w:hint="cs"/>
          <w:rtl/>
        </w:rPr>
        <w:tab/>
      </w:r>
    </w:p>
    <w:tbl>
      <w:tblPr>
        <w:tblStyle w:val="a9"/>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368"/>
        <w:gridCol w:w="342"/>
        <w:gridCol w:w="2761"/>
        <w:gridCol w:w="485"/>
        <w:gridCol w:w="2350"/>
      </w:tblGrid>
      <w:tr w:rsidR="009B3324" w:rsidTr="009B3324">
        <w:tc>
          <w:tcPr>
            <w:tcW w:w="2368" w:type="dxa"/>
            <w:tcBorders>
              <w:top w:val="nil"/>
              <w:left w:val="nil"/>
              <w:bottom w:val="single" w:sz="4" w:space="0" w:color="auto"/>
              <w:right w:val="nil"/>
            </w:tcBorders>
            <w:vAlign w:val="bottom"/>
            <w:hideMark/>
          </w:tcPr>
          <w:p w:rsidR="009B3324" w:rsidRDefault="009B3324">
            <w:pPr>
              <w:jc w:val="center"/>
              <w:rPr>
                <w:rFonts w:ascii="Courier New" w:hAnsi="Courier New"/>
                <w:b/>
                <w:bCs/>
              </w:rPr>
            </w:pPr>
            <w:r>
              <w:drawing>
                <wp:inline distT="0" distB="0" distL="0" distR="0">
                  <wp:extent cx="923290" cy="1069975"/>
                  <wp:effectExtent l="0" t="0" r="0" b="0"/>
                  <wp:docPr id="9" name="תמונה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23290" cy="1069975"/>
                          </a:xfrm>
                          <a:prstGeom prst="rect">
                            <a:avLst/>
                          </a:prstGeom>
                          <a:noFill/>
                          <a:ln>
                            <a:noFill/>
                          </a:ln>
                        </pic:spPr>
                      </pic:pic>
                    </a:graphicData>
                  </a:graphic>
                </wp:inline>
              </w:drawing>
            </w:r>
          </w:p>
        </w:tc>
        <w:tc>
          <w:tcPr>
            <w:tcW w:w="342" w:type="dxa"/>
            <w:vAlign w:val="bottom"/>
          </w:tcPr>
          <w:p w:rsidR="009B3324" w:rsidRDefault="009B3324">
            <w:pPr>
              <w:jc w:val="center"/>
              <w:rPr>
                <w:rFonts w:ascii="Courier New" w:hAnsi="Courier New"/>
                <w:b/>
                <w:bCs/>
                <w:rtl/>
              </w:rPr>
            </w:pPr>
          </w:p>
        </w:tc>
        <w:tc>
          <w:tcPr>
            <w:tcW w:w="2761" w:type="dxa"/>
            <w:tcBorders>
              <w:top w:val="nil"/>
              <w:left w:val="nil"/>
              <w:bottom w:val="single" w:sz="4" w:space="0" w:color="auto"/>
              <w:right w:val="nil"/>
            </w:tcBorders>
            <w:vAlign w:val="bottom"/>
            <w:hideMark/>
          </w:tcPr>
          <w:p w:rsidR="009B3324" w:rsidRDefault="009B3324">
            <w:pPr>
              <w:jc w:val="center"/>
              <w:rPr>
                <w:rFonts w:ascii="Courier New" w:hAnsi="Courier New"/>
                <w:b/>
                <w:bCs/>
                <w:rtl/>
              </w:rPr>
            </w:pPr>
            <w:r>
              <w:drawing>
                <wp:inline distT="0" distB="0" distL="0" distR="0">
                  <wp:extent cx="612775" cy="716280"/>
                  <wp:effectExtent l="0" t="0" r="0" b="7620"/>
                  <wp:docPr id="8" name="תמונה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775" cy="716280"/>
                          </a:xfrm>
                          <a:prstGeom prst="rect">
                            <a:avLst/>
                          </a:prstGeom>
                          <a:noFill/>
                          <a:ln>
                            <a:noFill/>
                          </a:ln>
                        </pic:spPr>
                      </pic:pic>
                    </a:graphicData>
                  </a:graphic>
                </wp:inline>
              </w:drawing>
            </w:r>
          </w:p>
        </w:tc>
        <w:tc>
          <w:tcPr>
            <w:tcW w:w="485" w:type="dxa"/>
            <w:vAlign w:val="bottom"/>
          </w:tcPr>
          <w:p w:rsidR="009B3324" w:rsidRDefault="009B3324">
            <w:pPr>
              <w:jc w:val="center"/>
              <w:rPr>
                <w:rFonts w:ascii="Courier New" w:hAnsi="Courier New"/>
                <w:b/>
                <w:bCs/>
              </w:rPr>
            </w:pPr>
          </w:p>
        </w:tc>
        <w:tc>
          <w:tcPr>
            <w:tcW w:w="2350" w:type="dxa"/>
            <w:tcBorders>
              <w:top w:val="nil"/>
              <w:left w:val="nil"/>
              <w:bottom w:val="single" w:sz="4" w:space="0" w:color="auto"/>
              <w:right w:val="nil"/>
            </w:tcBorders>
            <w:vAlign w:val="bottom"/>
            <w:hideMark/>
          </w:tcPr>
          <w:p w:rsidR="009B3324" w:rsidRDefault="009B3324">
            <w:pPr>
              <w:jc w:val="center"/>
              <w:rPr>
                <w:rFonts w:ascii="Courier New" w:hAnsi="Courier New"/>
                <w:b/>
                <w:bCs/>
              </w:rPr>
            </w:pPr>
            <w:r>
              <w:drawing>
                <wp:inline distT="0" distB="0" distL="0" distR="0">
                  <wp:extent cx="897255" cy="707390"/>
                  <wp:effectExtent l="0" t="0" r="0" b="0"/>
                  <wp:docPr id="7" name="תמונה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97255" cy="707390"/>
                          </a:xfrm>
                          <a:prstGeom prst="rect">
                            <a:avLst/>
                          </a:prstGeom>
                          <a:noFill/>
                          <a:ln>
                            <a:noFill/>
                          </a:ln>
                        </pic:spPr>
                      </pic:pic>
                    </a:graphicData>
                  </a:graphic>
                </wp:inline>
              </w:drawing>
            </w:r>
          </w:p>
        </w:tc>
      </w:tr>
      <w:tr w:rsidR="009B3324" w:rsidTr="009B3324">
        <w:tc>
          <w:tcPr>
            <w:tcW w:w="2368" w:type="dxa"/>
            <w:tcBorders>
              <w:top w:val="single" w:sz="4" w:space="0" w:color="auto"/>
              <w:left w:val="nil"/>
              <w:bottom w:val="nil"/>
              <w:right w:val="nil"/>
            </w:tcBorders>
            <w:hideMark/>
          </w:tcPr>
          <w:p w:rsidR="009B3324" w:rsidRDefault="009B3324">
            <w:pPr>
              <w:jc w:val="center"/>
              <w:rPr>
                <w:rFonts w:ascii="David" w:hAnsi="David"/>
                <w:b/>
                <w:bCs/>
                <w:rtl/>
              </w:rPr>
            </w:pPr>
            <w:r>
              <w:rPr>
                <w:rFonts w:ascii="David" w:hAnsi="David"/>
                <w:b/>
                <w:bCs/>
                <w:rtl/>
              </w:rPr>
              <w:t>ס. ג'יוסי, שופט</w:t>
            </w:r>
            <w:r>
              <w:rPr>
                <w:rFonts w:ascii="David" w:hAnsi="David"/>
                <w:b/>
                <w:bCs/>
                <w:rtl/>
              </w:rPr>
              <w:br/>
              <w:t>[אב"ד]</w:t>
            </w:r>
          </w:p>
        </w:tc>
        <w:tc>
          <w:tcPr>
            <w:tcW w:w="342" w:type="dxa"/>
          </w:tcPr>
          <w:p w:rsidR="009B3324" w:rsidRDefault="009B3324">
            <w:pPr>
              <w:spacing w:line="360" w:lineRule="auto"/>
              <w:rPr>
                <w:rFonts w:ascii="David" w:hAnsi="David"/>
                <w:b/>
                <w:bCs/>
                <w:color w:val="FF0000"/>
              </w:rPr>
            </w:pPr>
          </w:p>
        </w:tc>
        <w:tc>
          <w:tcPr>
            <w:tcW w:w="2761" w:type="dxa"/>
            <w:tcBorders>
              <w:top w:val="single" w:sz="4" w:space="0" w:color="auto"/>
              <w:left w:val="nil"/>
              <w:bottom w:val="nil"/>
              <w:right w:val="nil"/>
            </w:tcBorders>
            <w:hideMark/>
          </w:tcPr>
          <w:p w:rsidR="009B3324" w:rsidRDefault="009B3324">
            <w:pPr>
              <w:spacing w:line="360" w:lineRule="auto"/>
              <w:jc w:val="center"/>
              <w:rPr>
                <w:rFonts w:ascii="David" w:hAnsi="David"/>
                <w:b/>
                <w:bCs/>
                <w:rtl/>
              </w:rPr>
            </w:pPr>
            <w:r>
              <w:rPr>
                <w:rFonts w:ascii="David" w:hAnsi="David"/>
                <w:b/>
                <w:bCs/>
                <w:rtl/>
              </w:rPr>
              <w:t>ע. אטיאס, שופטת</w:t>
            </w:r>
          </w:p>
        </w:tc>
        <w:tc>
          <w:tcPr>
            <w:tcW w:w="485" w:type="dxa"/>
          </w:tcPr>
          <w:p w:rsidR="009B3324" w:rsidRDefault="009B3324">
            <w:pPr>
              <w:spacing w:line="360" w:lineRule="auto"/>
              <w:rPr>
                <w:rFonts w:ascii="David" w:hAnsi="David"/>
                <w:b/>
                <w:bCs/>
                <w:color w:val="FF0000"/>
              </w:rPr>
            </w:pPr>
          </w:p>
        </w:tc>
        <w:tc>
          <w:tcPr>
            <w:tcW w:w="2350" w:type="dxa"/>
            <w:tcBorders>
              <w:top w:val="single" w:sz="4" w:space="0" w:color="auto"/>
              <w:left w:val="nil"/>
              <w:bottom w:val="nil"/>
              <w:right w:val="nil"/>
            </w:tcBorders>
            <w:hideMark/>
          </w:tcPr>
          <w:p w:rsidR="009B3324" w:rsidRDefault="009B3324">
            <w:pPr>
              <w:spacing w:line="360" w:lineRule="auto"/>
              <w:jc w:val="center"/>
              <w:rPr>
                <w:rFonts w:ascii="David" w:hAnsi="David"/>
                <w:b/>
                <w:bCs/>
              </w:rPr>
            </w:pPr>
            <w:r>
              <w:rPr>
                <w:rFonts w:ascii="David" w:hAnsi="David"/>
                <w:b/>
                <w:bCs/>
                <w:rtl/>
              </w:rPr>
              <w:t>נ. סילמן, שופט</w:t>
            </w:r>
          </w:p>
        </w:tc>
      </w:tr>
    </w:tbl>
    <w:p w:rsidR="00694556" w:rsidRDefault="00BD6531" w:rsidP="00095E15">
      <w:pPr>
        <w:tabs>
          <w:tab w:val="left" w:pos="2553"/>
        </w:tabs>
        <w:rPr>
          <w:rFonts w:ascii="Arial" w:hAnsi="Arial"/>
          <w:noProof w:val="0"/>
          <w:rtl/>
        </w:rPr>
      </w:pPr>
      <w:r>
        <w:rPr>
          <w:rFonts w:hint="cs"/>
          <w:rtl/>
        </w:rPr>
        <w:t xml:space="preserve">        </w:t>
      </w:r>
    </w:p>
    <w:sectPr w:rsidR="00694556" w:rsidSect="00475BC2">
      <w:headerReference w:type="default" r:id="rId12"/>
      <w:footerReference w:type="default" r:id="rId13"/>
      <w:pgSz w:w="11907" w:h="16840" w:code="9"/>
      <w:pgMar w:top="1440" w:right="1800" w:bottom="1276" w:left="1800" w:header="720" w:footer="510" w:gutter="0"/>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3D02" w:rsidRDefault="005A3D02">
      <w:r>
        <w:separator/>
      </w:r>
    </w:p>
  </w:endnote>
  <w:endnote w:type="continuationSeparator" w:id="0">
    <w:p w:rsidR="005A3D02" w:rsidRDefault="005A3D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TUR">
    <w:charset w:val="00"/>
    <w:family w:val="swiss"/>
    <w:pitch w:val="variable"/>
    <w:sig w:usb0="E0003A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24313" w:rsidRDefault="000C3B60">
    <w:pPr>
      <w:pStyle w:val="a4"/>
      <w:jc w:val="center"/>
      <w:rPr>
        <w:rStyle w:val="ab"/>
        <w:rFonts w:ascii="David" w:hAnsi="David"/>
      </w:rPr>
    </w:pPr>
    <w:r w:rsidRPr="00424313">
      <w:rPr>
        <w:rStyle w:val="ab"/>
        <w:rFonts w:ascii="David" w:hAnsi="David"/>
      </w:rPr>
      <w:fldChar w:fldCharType="begin"/>
    </w:r>
    <w:r w:rsidR="00005C8B" w:rsidRPr="00424313">
      <w:rPr>
        <w:rStyle w:val="ab"/>
        <w:rFonts w:ascii="David" w:hAnsi="David"/>
      </w:rPr>
      <w:instrText xml:space="preserve"> PAGE </w:instrText>
    </w:r>
    <w:r w:rsidRPr="00424313">
      <w:rPr>
        <w:rStyle w:val="ab"/>
        <w:rFonts w:ascii="David" w:hAnsi="David"/>
      </w:rPr>
      <w:fldChar w:fldCharType="separate"/>
    </w:r>
    <w:r w:rsidR="00893B75">
      <w:rPr>
        <w:rStyle w:val="ab"/>
        <w:rFonts w:ascii="David" w:hAnsi="David"/>
        <w:rtl/>
      </w:rPr>
      <w:t>21</w:t>
    </w:r>
    <w:r w:rsidRPr="00424313">
      <w:rPr>
        <w:rStyle w:val="ab"/>
        <w:rFonts w:ascii="David" w:hAnsi="David"/>
      </w:rPr>
      <w:fldChar w:fldCharType="end"/>
    </w:r>
    <w:r w:rsidR="00005C8B" w:rsidRPr="00424313">
      <w:rPr>
        <w:rStyle w:val="ab"/>
        <w:rFonts w:ascii="David" w:hAnsi="David"/>
        <w:rtl/>
      </w:rPr>
      <w:t xml:space="preserve"> מתוך </w:t>
    </w:r>
    <w:r w:rsidRPr="00424313">
      <w:rPr>
        <w:rStyle w:val="ab"/>
        <w:rFonts w:ascii="David" w:hAnsi="David"/>
      </w:rPr>
      <w:fldChar w:fldCharType="begin"/>
    </w:r>
    <w:r w:rsidR="00005C8B" w:rsidRPr="00424313">
      <w:rPr>
        <w:rStyle w:val="ab"/>
        <w:rFonts w:ascii="David" w:hAnsi="David"/>
      </w:rPr>
      <w:instrText xml:space="preserve"> NUMPAGES </w:instrText>
    </w:r>
    <w:r w:rsidRPr="00424313">
      <w:rPr>
        <w:rStyle w:val="ab"/>
        <w:rFonts w:ascii="David" w:hAnsi="David"/>
      </w:rPr>
      <w:fldChar w:fldCharType="separate"/>
    </w:r>
    <w:r w:rsidR="00893B75">
      <w:rPr>
        <w:rStyle w:val="ab"/>
        <w:rFonts w:ascii="David" w:hAnsi="David"/>
        <w:rtl/>
      </w:rPr>
      <w:t>22</w:t>
    </w:r>
    <w:r w:rsidRPr="00424313">
      <w:rPr>
        <w:rStyle w:val="ab"/>
        <w:rFonts w:ascii="David" w:hAnsi="David"/>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3D02" w:rsidRDefault="005A3D02">
      <w:r>
        <w:separator/>
      </w:r>
    </w:p>
  </w:footnote>
  <w:footnote w:type="continuationSeparator" w:id="0">
    <w:p w:rsidR="005A3D02" w:rsidRDefault="005A3D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3"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7"/>
    </w:tblGrid>
    <w:tr w:rsidR="00694556" w:rsidTr="00EA2AA2">
      <w:trPr>
        <w:trHeight w:hRule="exact" w:val="704"/>
        <w:jc w:val="center"/>
      </w:trPr>
      <w:sdt>
        <w:sdtPr>
          <w:rPr>
            <w:rFonts w:ascii="Tahoma" w:hAnsi="Tahoma"/>
            <w:color w:val="000080"/>
            <w:sz w:val="32"/>
            <w:szCs w:val="32"/>
            <w:rtl/>
          </w:rPr>
          <w:alias w:val="1174"/>
          <w:tag w:val="1174"/>
          <w:id w:val="-1585920285"/>
          <w:text w:multiLine="1"/>
        </w:sdtPr>
        <w:sdtEndPr/>
        <w:sdtContent>
          <w:tc>
            <w:tcPr>
              <w:tcW w:w="8307" w:type="dxa"/>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בחיפה בשבתו כבית-משפט לערעורים אזרחיים</w:t>
              </w:r>
            </w:p>
          </w:tc>
        </w:sdtContent>
      </w:sdt>
    </w:tr>
    <w:tr w:rsidR="00694556" w:rsidTr="00EA2AA2">
      <w:trPr>
        <w:trHeight w:val="337"/>
        <w:jc w:val="center"/>
      </w:trPr>
      <w:tc>
        <w:tcPr>
          <w:tcW w:w="8307" w:type="dxa"/>
        </w:tcPr>
        <w:p w:rsidR="007D45E3" w:rsidRDefault="005A3D02" w:rsidP="00082F61">
          <w:pPr>
            <w:rPr>
              <w:b/>
              <w:bCs/>
              <w:noProof w:val="0"/>
              <w:sz w:val="26"/>
              <w:szCs w:val="26"/>
              <w:rtl/>
            </w:rPr>
          </w:pPr>
          <w:sdt>
            <w:sdtPr>
              <w:rPr>
                <w:rtl/>
              </w:rPr>
              <w:alias w:val="1170"/>
              <w:tag w:val="1170"/>
              <w:id w:val="1066377040"/>
              <w:text w:multiLine="1"/>
            </w:sdtPr>
            <w:sdtEndPr/>
            <w:sdtContent>
              <w:proofErr w:type="spellStart"/>
              <w:r w:rsidR="00424313">
                <w:rPr>
                  <w:b/>
                  <w:bCs/>
                  <w:noProof w:val="0"/>
                  <w:sz w:val="26"/>
                  <w:szCs w:val="26"/>
                  <w:rtl/>
                </w:rPr>
                <w:t>עמ"ש</w:t>
              </w:r>
              <w:proofErr w:type="spellEnd"/>
            </w:sdtContent>
          </w:sdt>
          <w:r w:rsidR="00005C8B">
            <w:rPr>
              <w:b/>
              <w:bCs/>
              <w:noProof w:val="0"/>
              <w:sz w:val="26"/>
              <w:szCs w:val="26"/>
              <w:rtl/>
            </w:rPr>
            <w:t xml:space="preserve"> </w:t>
          </w:r>
          <w:sdt>
            <w:sdtPr>
              <w:rPr>
                <w:rtl/>
              </w:rPr>
              <w:alias w:val="1171"/>
              <w:tag w:val="1171"/>
              <w:id w:val="257034231"/>
              <w:text w:multiLine="1"/>
            </w:sdtPr>
            <w:sdtEndPr/>
            <w:sdtContent>
              <w:r w:rsidR="00424313">
                <w:rPr>
                  <w:b/>
                  <w:bCs/>
                  <w:noProof w:val="0"/>
                  <w:sz w:val="26"/>
                  <w:szCs w:val="26"/>
                  <w:rtl/>
                </w:rPr>
                <w:t>67846-05-24</w:t>
              </w:r>
            </w:sdtContent>
          </w:sdt>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082F61">
                <w:rPr>
                  <w:rFonts w:hint="cs"/>
                  <w:b/>
                  <w:bCs/>
                  <w:noProof w:val="0"/>
                  <w:sz w:val="26"/>
                  <w:szCs w:val="26"/>
                  <w:rtl/>
                </w:rPr>
                <w:t>פלוני</w:t>
              </w:r>
              <w:r w:rsidR="00424313">
                <w:rPr>
                  <w:b/>
                  <w:bCs/>
                  <w:noProof w:val="0"/>
                  <w:sz w:val="26"/>
                  <w:szCs w:val="26"/>
                  <w:rtl/>
                </w:rPr>
                <w:t xml:space="preserve"> נ' </w:t>
              </w:r>
              <w:r w:rsidR="00082F61">
                <w:rPr>
                  <w:rFonts w:hint="cs"/>
                  <w:b/>
                  <w:bCs/>
                  <w:noProof w:val="0"/>
                  <w:sz w:val="26"/>
                  <w:szCs w:val="26"/>
                  <w:rtl/>
                </w:rPr>
                <w:t>פלונית</w:t>
              </w: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p>
      </w:tc>
    </w:tr>
  </w:tbl>
  <w:p w:rsidR="00694556" w:rsidRDefault="00005C8B">
    <w:pPr>
      <w:pStyle w:val="a3"/>
      <w:rPr>
        <w:noProof w:val="0"/>
        <w:rtl/>
      </w:rPr>
    </w:pPr>
    <w:r>
      <w:rPr>
        <w:noProof w:val="0"/>
        <w:rtl/>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263287"/>
    <w:docVar w:name="CourtID" w:val="13"/>
    <w:docVar w:name="DocumentDS" w:val="&amp;lt;?xml version=&amp;quot;1.0&amp;quot;?&amp;gt;_x000d__x000a_&amp;lt;DocumentDS&amp;gt;_x000d__x000a_  &amp;lt;xs:schema id=&amp;quot;DocumentDS&amp;quot; targetNamespace=&amp;quot;http://www.tempuri.org/DocumentDS.xsd&amp;quot; xmlns:mstns=&amp;quot;http://www.tempuri.org/DocumentDS.xsd&amp;quot; xmlns=&amp;quot;http://www.tempuri.org/DocumentDS.xsd&amp;quot; xmlns:xs=&amp;quot;http://www.w3.org/2001/XMLSchema&amp;quot; xmlns:msdata=&amp;quot;urn:schemas-microsoft-com:xml-msdata&amp;quot; attributeFormDefault=&amp;quot;qualified&amp;quot; elementFormDefault=&amp;quot;qualified&amp;quot;&amp;gt;_x000d__x000a_    &amp;lt;xs:element name=&amp;quot;DocumentDS&amp;quot; msdata:IsDataSet=&amp;quot;true&amp;quot; msdata:Locale=&amp;quot;en-US&amp;quot;&amp;gt;_x000d__x000a_      &amp;lt;xs:complexType&amp;gt;_x000d__x000a_        &amp;lt;xs:choice minOccurs=&amp;quot;0&amp;quot; maxOccurs=&amp;quot;unbounded&amp;quot;&amp;gt;_x000d__x000a_          &amp;lt;xs:element name=&amp;quot;dt_DocumentCase&amp;quot;&amp;gt;_x000d__x000a_            &amp;lt;xs:complexType&amp;gt;_x000d__x000a_              &amp;lt;xs:sequence&amp;gt;_x000d__x000a_                &amp;lt;xs:element name=&amp;quot;CaseID&amp;quot; type=&amp;quot;xs:int&amp;quot; /&amp;gt;_x000d__x000a_                &amp;lt;xs:element name=&amp;quot;DocumentID&amp;quot; type=&amp;quot;xs:int&amp;quot; /&amp;gt;_x000d__x000a_              &amp;lt;/xs:sequence&amp;gt;_x000d__x000a_            &amp;lt;/xs:complexType&amp;gt;_x000d__x000a_          &amp;lt;/xs:element&amp;gt;_x000d__x000a_          &amp;lt;xs:element name=&amp;quot;dt_Bookmark&amp;quot;&amp;gt;_x000d__x000a_            &amp;lt;xs:complexType&amp;gt;_x000d__x000a_              &amp;lt;xs:sequence&amp;gt;_x000d__x000a_                &amp;lt;xs:element name=&amp;quot;Bookmark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BookmarkName&amp;quot; type=&amp;quot;xs:string&amp;quot; minOccurs=&amp;quot;0&amp;quot; /&amp;gt;_x000d__x000a_                &amp;lt;xs:element name=&amp;quot;DocumentPage&amp;quot; type=&amp;quot;xs:int&amp;quot; minOccurs=&amp;quot;0&amp;quot; /&amp;gt;_x000d__x000a_              &amp;lt;/xs:sequence&amp;gt;_x000d__x000a_            &amp;lt;/xs:complexType&amp;gt;_x000d__x000a_          &amp;lt;/xs:element&amp;gt;_x000d__x000a_          &amp;lt;xs:element name=&amp;quot;dt_Document&amp;quot;&amp;gt;_x000d__x000a_            &amp;lt;xs:complexType&amp;gt;_x000d__x000a_              &amp;lt;xs:sequence&amp;gt;_x000d__x000a_                &amp;lt;xs:element name=&amp;quot;DocumentID&amp;quot; msdata:ReadOnly=&amp;quot;true&amp;quot; msdata:AutoIncrement=&amp;quot;true&amp;quot; msdata:AutoIncrementSeed=&amp;quot;-1&amp;quot; msdata:AutoIncrementStep=&amp;quot;-1&amp;quot; type=&amp;quot;xs:int&amp;quot; /&amp;gt;_x000d__x000a_                &amp;lt;xs:element name=&amp;quot;DocumentMainID&amp;quot; type=&amp;quot;xs:int&amp;quot; /&amp;gt;_x000d__x000a_                &amp;lt;xs:element name=&amp;quot;CaseID&amp;quot; type=&amp;quot;xs:int&amp;quot; minOccurs=&amp;quot;0&amp;quot; /&amp;gt;_x000d__x000a_                &amp;lt;xs:element name=&amp;quot;ConvertCaseID&amp;quot; type=&amp;quot;xs:int&amp;quot; minOccurs=&amp;quot;0&amp;quot; /&amp;gt;_x000d__x000a_                &amp;lt;xs:element name=&amp;quot;OldDocumentID&amp;quot; type=&amp;quot;xs:string&amp;quot; minOccurs=&amp;quot;0&amp;quot; /&amp;gt;_x000d__x000a_                &amp;lt;xs:element name=&amp;quot;OldCaseID&amp;quot; type=&amp;quot;xs:string&amp;quot; minOccurs=&amp;quot;0&amp;quot; /&amp;gt;_x000d__x000a_                &amp;lt;xs:element name=&amp;quot;DocumentIncludedDate&amp;quot; type=&amp;quot;xs:dateTime&amp;quot; /&amp;gt;_x000d__x000a_                &amp;lt;xs:element name=&amp;quot;DocumentDesc&amp;quot; type=&amp;quot;xs:string&amp;quot; /&amp;gt;_x000d__x000a_                &amp;lt;xs:element name=&amp;quot;DocumentDirectionID&amp;quot; type=&amp;quot;xs:int&amp;quot; minOccurs=&amp;quot;0&amp;quot; /&amp;gt;_x000d__x000a_                &amp;lt;xs:element name=&amp;quot;SourceID&amp;quot; type=&amp;quot;xs:int&amp;quot; minOccurs=&amp;quot;0&amp;quot; /&amp;gt;_x000d__x000a_                &amp;lt;xs:element name=&amp;quot;SavingMethodID&amp;quot; type=&amp;quot;xs:int&amp;quot; minOccurs=&amp;quot;0&amp;quot; /&amp;gt;_x000d__x000a_                &amp;lt;xs:element name=&amp;quot;PaperDocumentSavingPlace&amp;quot; type=&amp;quot;xs:string&amp;quot; minOccurs=&amp;quot;0&amp;quot; /&amp;gt;_x000d__x000a_                &amp;lt;xs:element name=&amp;quot;VersionNumber&amp;quot; type=&amp;quot;xs:int&amp;quot; /&amp;gt;_x000d__x000a_                &amp;lt;xs:element name=&amp;quot;DocumentVersionTypeID&amp;quot; type=&amp;quot;xs:int&amp;quot; minOccurs=&amp;quot;0&amp;quot; /&amp;gt;_x000d__x000a_                &amp;lt;xs:element name=&amp;quot;IsAttachment&amp;quot; type=&amp;quot;xs:boolean&amp;quot; /&amp;gt;_x000d__x000a_                &amp;lt;xs:element name=&amp;quot;AttachmentOrdinalNumber&amp;quot; type=&amp;quot;xs:int&amp;quot; minOccurs=&amp;quot;0&amp;quot; /&amp;gt;_x000d__x000a_                &amp;lt;xs:element name=&amp;quot;DocumentTypeID&amp;quot; type=&amp;quot;xs:int&amp;quot; minOccurs=&amp;quot;0&amp;quot; /&amp;gt;_x000d__x000a_                &amp;lt;xs:element name=&amp;quot;DocumentSavingDate&amp;quot; type=&amp;quot;xs:dateTime&amp;quot; minOccurs=&amp;quot;0&amp;quot; /&amp;gt;_x000d__x000a_                &amp;lt;xs:element name=&amp;quot;DocumentChangeDate&amp;quot; type=&amp;quot;xs:dateTime&amp;quot; /&amp;gt;_x000d__x000a_                &amp;lt;xs:element name=&amp;quot;IsScanned&amp;quot; type=&amp;quot;xs:boolean&amp;quot; minOccurs=&amp;quot;0&amp;quot; /&amp;gt;_x000d__x000a_                &amp;lt;xs:element name=&amp;quot;DocumentScanningDate&amp;quot; type=&amp;quot;xs:dateTime&amp;quot; minOccurs=&amp;quot;0&amp;quot; /&amp;gt;_x000d__x000a_                &amp;lt;xs:element name=&amp;quot;PageQuantity&amp;quot; type=&amp;quot;xs:int&amp;quot; minOccurs=&amp;quot;0&amp;quot; /&amp;gt;_x000d__x000a_                &amp;lt;xs:element name=&amp;quot;DocumentStatusID&amp;quot; type=&amp;quot;xs:int&amp;quot; minOccurs=&amp;quot;0&amp;quot; /&amp;gt;_x000d__x000a_                &amp;lt;xs:element name=&amp;quot;DocumentStatusChangeDate&amp;quot; type=&amp;quot;xs:dateTime&amp;quot; minOccurs=&amp;quot;0&amp;quot; /&amp;gt;_x000d__x000a_                &amp;lt;xs:element name=&amp;quot;TemplateID&amp;quot; type=&amp;quot;xs:int&amp;quot; minOccurs=&amp;quot;0&amp;quot; /&amp;gt;_x000d__x000a_                &amp;lt;xs:element name=&amp;quot;TemplateVersionID&amp;quot; type=&amp;quot;xs:int&amp;quot; minOccurs=&amp;quot;0&amp;quot; /&amp;gt;_x000d__x000a_                &amp;lt;xs:element name=&amp;quot;DocumentChangeUserID&amp;quot; type=&amp;quot;xs:string&amp;quot; minOccurs=&amp;quot;0&amp;quot; /&amp;gt;_x000d__x000a_                &amp;lt;xs:element name=&amp;quot;DocumentCreationUserID&amp;quot; type=&amp;quot;xs:string&amp;quot; minOccurs=&amp;quot;0&amp;quot; /&amp;gt;_x000d__x000a_                &amp;lt;xs:element name=&amp;quot;OriginalDocumentID&amp;quot; type=&amp;quot;xs:int&amp;quot; minOccurs=&amp;quot;0&amp;quot; /&amp;gt;_x000d__x000a_                &amp;lt;xs:element name=&amp;quot;PrivillegeID&amp;quot; type=&amp;quot;xs:int&amp;quot; /&amp;gt;_x000d__x000a_                &amp;lt;xs:element name=&amp;quot;FromPage&amp;quot; type=&amp;quot;xs:int&amp;quot; default=&amp;quot;0&amp;quot; minOccurs=&amp;quot;0&amp;quot; /&amp;gt;_x000d__x000a_                &amp;lt;xs:element name=&amp;quot;ToPage&amp;quot; type=&amp;quot;xs:int&amp;quot; default=&amp;quot;0&amp;quot; minOccurs=&amp;quot;0&amp;quot; /&amp;gt;_x000d__x000a_                &amp;lt;xs:element name=&amp;quot;IsScannedWithoutEntity&amp;quot; type=&amp;quot;xs:boolean&amp;quot; minOccurs=&amp;quot;0&amp;quot; /&amp;gt;_x000d__x000a_                &amp;lt;xs:element name=&amp;quot;DocumentComment&amp;quot; type=&amp;quot;xs:string&amp;quot; minOccurs=&amp;quot;0&amp;quot; /&amp;gt;_x000d__x000a_                &amp;lt;xs:element name=&amp;quot;BoxNumber&amp;quot; type=&amp;quot;xs:string&amp;quot; minOccurs=&amp;quot;0&amp;quot; /&amp;gt;_x000d__x000a_                &amp;lt;xs:element name=&amp;quot;Archive&amp;quot; type=&amp;quot;xs:string&amp;quot; minOccurs=&amp;quot;0&amp;quot; /&amp;gt;_x000d__x000a_                &amp;lt;xs:element name=&amp;quot;CasePartyID&amp;quot; type=&amp;quot;xs:int&amp;quot; minOccurs=&amp;quot;0&amp;quot; /&amp;gt;_x000d__x000a_                &amp;lt;xs:element name=&amp;quot;FileID&amp;quot; type=&amp;quot;xs:string&amp;quot; minOccurs=&amp;quot;0&amp;quot; /&amp;gt;_x000d__x000a_                &amp;lt;xs:element name=&amp;quot;OriginalFileID&amp;quot; type=&amp;quot;xs:string&amp;quot; minOccurs=&amp;quot;0&amp;quot; /&amp;gt;_x000d__x000a_                &amp;lt;xs:element name=&amp;quot;CaseDisplayNumber&amp;quot; type=&amp;quot;xs:string&amp;quot; minOccurs=&amp;quot;0&amp;quot; /&amp;gt;_x000d__x000a_                &amp;lt;xs:element name=&amp;quot;URL&amp;quot; type=&amp;quot;xs:string&amp;quot; minOccurs=&amp;quot;0&amp;quot; /&amp;gt;_x000d__x000a_                &amp;lt;xs:element name=&amp;quot;SplittedNumberOfPages&amp;quot; type=&amp;quot;xs:int&amp;quot; minOccurs=&amp;quot;0&amp;quot; /&amp;gt;_x000d__x000a_                &amp;lt;xs:element name=&amp;quot;isOliveProcessed&amp;quot; type=&amp;quot;xs:boolean&amp;quot; minOccurs=&amp;quot;0&amp;quot; /&amp;gt;_x000d__x000a_                &amp;lt;xs:element name=&amp;quot;CasePartyDisplayName&amp;quot; type=&amp;quot;xs:string&amp;quot; minOccurs=&amp;quot;0&amp;quot; /&amp;gt;_x000d__x000a_                &amp;lt;xs:element name=&amp;quot;OlivePriority&amp;quot; type=&amp;quot;xs:int&amp;quot; default=&amp;quot;1&amp;quot; minOccurs=&amp;quot;0&amp;quot; /&amp;gt;_x000d__x000a_                &amp;lt;xs:element name=&amp;quot;PreFetchUrl&amp;quot; type=&amp;quot;xs:string&amp;quot; minOccurs=&amp;quot;0&amp;quot; /&amp;gt;_x000d__x000a_                &amp;lt;xs:element name=&amp;quot;DocumentCdImportID&amp;quot; type=&amp;quot;xs:string&amp;quot; minOccurs=&amp;quot;0&amp;quot; /&amp;gt;_x000d__x000a_                &amp;lt;xs:element name=&amp;quot;MetaDataTypeID&amp;quot; type=&amp;quot;xs:int&amp;quot; minOccurs=&amp;quot;0&amp;quot; /&amp;gt;_x000d__x000a_                &amp;lt;xs:element name=&amp;quot;MetaDataChangeDate&amp;quot; type=&amp;quot;xs:dateTime&amp;quot; minOccurs=&amp;quot;0&amp;quot; /&amp;gt;_x000d__x000a_                &amp;lt;xs:element name=&amp;quot;MetaData&amp;quot; type=&amp;quot;xs:string&amp;quot; minOccurs=&amp;quot;0&amp;quot; /&amp;gt;_x000d__x000a_                &amp;lt;xs:element name=&amp;quot;NewVersionRequired&amp;quot; type=&amp;quot;xs:boolean&amp;quot; minOccurs=&amp;quot;0&amp;quot; /&amp;gt;_x000d__x000a_                &amp;lt;xs:element name=&amp;quot;IsReturned&amp;quot; type=&amp;quot;xs:boolean&amp;quot; default=&amp;quot;false&amp;quot; /&amp;gt;_x000d__x000a_                &amp;lt;xs:element name=&amp;quot;SignatureURL&amp;quot; type=&amp;quot;xs:string&amp;quot; minOccurs=&amp;quot;0&amp;quot; /&amp;gt;_x000d__x000a_                &amp;lt;xs:element name=&amp;quot;IsCritical&amp;quot; type=&amp;quot;xs:boolean&amp;quot; default=&amp;quot;false&amp;quot; minOccurs=&amp;quot;0&amp;quot; /&amp;gt;_x000d__x000a_                &amp;lt;xs:element name=&amp;quot;IsEntityCanceled&amp;quot; type=&amp;quot;xs:boolean&amp;quot; default=&amp;quot;false&amp;quot; /&amp;gt;_x000d__x000a_                &amp;lt;xs:element name=&amp;quot;IsRepresentativeRegistryOpenToPublic&amp;quot; type=&amp;quot;xs:boolean&amp;quot; default=&amp;quot;false&amp;quot; minOccurs=&amp;quot;0&amp;quot; /&amp;gt;_x000d__x000a_                &amp;lt;xs:element name=&amp;quot;PresentationDate&amp;quot; type=&amp;quot;xs:dateTime&amp;quot; minOccurs=&amp;quot;0&amp;quot; /&amp;gt;_x000d__x000a_                &amp;lt;xs:element name=&amp;quot;IsIDCPublished&amp;quot; type=&amp;quot;xs:boolean&amp;quot; minOccurs=&amp;quot;0&amp;quot; /&amp;gt;_x000d__x000a_                &amp;lt;xs:element name=&amp;quot;IsDocumentPipexed&amp;quot; type=&amp;quot;xs:boolean&amp;quot; minOccurs=&amp;quot;0&amp;quot; /&amp;gt;_x000d__x000a_                &amp;lt;xs:element name=&amp;quot;ConvertToPdf&amp;quot; type=&amp;quot;xs:int&amp;quot; minOccurs=&amp;quot;0&amp;quot; /&amp;gt;_x000d__x000a_                &amp;lt;xs:element name=&amp;quot;PublishToIDC&amp;quot; type=&amp;quot;xs:int&amp;quot; minOccurs=&amp;quot;0&amp;quot; /&amp;gt;_x000d__x000a_                &amp;lt;xs:element name=&amp;quot;OCR&amp;quot; type=&amp;quot;xs:int&amp;quot; minOccurs=&amp;quot;0&amp;quot; /&amp;gt;_x000d__x000a_                &amp;lt;xs:element name=&amp;quot;DesicionPublish&amp;quot; type=&amp;quot;xs:int&amp;quot; minOccurs=&amp;quot;0&amp;quot; /&amp;gt;_x000d__x000a_                &amp;lt;xs:element name=&amp;quot;IsProof&amp;quot; type=&amp;quot;xs:int&amp;quot; minOccurs=&amp;quot;0&amp;quot; /&amp;gt;_x000d__x000a_                &amp;lt;xs:element name=&amp;quot;Summarization&amp;quot; type=&amp;quot;xs:int&amp;quot; minOccurs=&amp;quot;0&amp;quot; /&amp;gt;_x000d__x000a_                &amp;lt;xs:element name=&amp;quot;GetPunishmentData&amp;quot; type=&amp;quot;xs:int&amp;quot; minOccurs=&amp;quot;0&amp;quot; /&amp;gt;_x000d__x000a_                &amp;lt;xs:element name=&amp;quot;AutomaticallyDelivery&amp;quot; type=&amp;quot;xs:int&amp;quot; minOccurs=&amp;quot;0&amp;quot; /&amp;gt;_x000d__x000a_                &amp;lt;xs:element name=&amp;quot;Send2ELK&amp;quot; type=&amp;quot;xs:int&amp;quot; minOccurs=&amp;quot;0&amp;quot; /&amp;gt;_x000d__x000a_                &amp;lt;xs:element name=&amp;quot;TransportFineExtract&amp;quot; type=&amp;quot;xs:int&amp;quot; minOccurs=&amp;quot;0&amp;quot; /&amp;gt;_x000d__x000a_              &amp;lt;/xs:sequence&amp;gt;_x000d__x000a_            &amp;lt;/xs:complexType&amp;gt;_x000d__x000a_          &amp;lt;/xs:element&amp;gt;_x000d__x000a_          &amp;lt;xs:element name=&amp;quot;dt_DocumentNote&amp;quot;&amp;gt;_x000d__x000a_            &amp;lt;xs:complexType&amp;gt;_x000d__x000a_              &amp;lt;xs:sequence&amp;gt;_x000d__x000a_                &amp;lt;xs:element name=&amp;quot;DocumentNote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DocumentNoteCreateDate&amp;quot; type=&amp;quot;xs:dateTime&amp;quot; /&amp;gt;_x000d__x000a_                &amp;lt;xs:element name=&amp;quot;CreationUserID&amp;quot; type=&amp;quot;xs:string&amp;quot; /&amp;gt;_x000d__x000a_                &amp;lt;xs:element name=&amp;quot;DocumentNoteDesc&amp;quot; type=&amp;quot;xs:string&amp;quot; minOccurs=&amp;quot;0&amp;quot; /&amp;gt;_x000d__x000a_                &amp;lt;xs:element name=&amp;quot;DocumentNoteXML&amp;quot; type=&amp;quot;xs:string&amp;quot; minOccurs=&amp;quot;0&amp;quot; /&amp;gt;_x000d__x000a_                &amp;lt;xs:element name=&amp;quot;DescriptionPageNumber&amp;quot; type=&amp;quot;xs:int&amp;quot; minOccurs=&amp;quot;0&amp;quot; /&amp;gt;_x000d__x000a_                &amp;lt;xs:element name=&amp;quot;AccessTypeID&amp;quot; type=&amp;quot;xs:int&amp;quot; minOccurs=&amp;quot;0&amp;quot; /&amp;gt;_x000d__x000a_                &amp;lt;xs:element name=&amp;quot;NoteTypeID&amp;quot; type=&amp;quot;xs:int&amp;quot; minOccurs=&amp;quot;0&amp;quot; /&amp;gt;_x000d__x000a_                &amp;lt;xs:element name=&amp;quot;X1Location&amp;quot; type=&amp;quot;xs:decimal&amp;quot; /&amp;gt;_x000d__x000a_                &amp;lt;xs:element name=&amp;quot;X2Location&amp;quot; type=&amp;quot;xs:decimal&amp;quot; /&amp;gt;_x000d__x000a_                &amp;lt;xs:element name=&amp;quot;Y1Location&amp;quot; type=&amp;quot;xs:decimal&amp;quot; /&amp;gt;_x000d__x000a_                &amp;lt;xs:element name=&amp;quot;Y2Location&amp;quot; type=&amp;quot;xs:decimal&amp;quot; /&amp;gt;_x000d__x000a_                &amp;lt;xs:element name=&amp;quot;XmlContent&amp;quot; type=&amp;quot;xs:string&amp;quot; minOccurs=&amp;quot;0&amp;quot; /&amp;gt;_x000d__x000a_                &amp;lt;xs:element name=&amp;quot;X1RectLocation&amp;quot; type=&amp;quot;xs:decimal&amp;quot; /&amp;gt;_x000d__x000a_                &amp;lt;xs:element name=&amp;quot;X2RectLocation&amp;quot; type=&amp;quot;xs:decimal&amp;quot; /&amp;gt;_x000d__x000a_                &amp;lt;xs:element name=&amp;quot;Y1RectLocation&amp;quot; type=&amp;quot;xs:decimal&amp;quot; /&amp;gt;_x000d__x000a_                &amp;lt;xs:element name=&amp;quot;Y2RectLocation&amp;quot; type=&amp;quot;xs:decimal&amp;quot; /&amp;gt;_x000d__x000a_                &amp;lt;xs:element name=&amp;quot;IsPopupOpen&amp;quot; type=&amp;quot;xs:boolean&amp;quot; /&amp;gt;_x000d__x000a_                &amp;lt;xs:element name=&amp;quot;CDATA&amp;quot; type=&amp;quot;xs:string&amp;quot; minOccurs=&amp;quot;0&amp;quot; /&amp;gt;_x000d__x000a_                &amp;lt;xs:element name=&amp;quot;Title&amp;quot; type=&amp;quot;xs:string&amp;quot; minOccurs=&amp;quot;0&amp;quot; /&amp;gt;_x000d__x000a_                &amp;lt;xs:element name=&amp;quot;Page&amp;quot; type=&amp;quot;xs:int&amp;quot; minOccurs=&amp;quot;0&amp;quot; /&amp;gt;_x000d__x000a_                &amp;lt;xs:element name=&amp;quot;IsVisiable&amp;quot; type=&amp;quot;xs:boolean&amp;quot; default=&amp;quot;false&amp;quot; /&amp;gt;_x000d__x000a_                &amp;lt;xs:element name=&amp;quot;ActivityStatusID&amp;quot; type=&amp;quot;xs:int&amp;quot; default=&amp;quot;1&amp;quot; /&amp;gt;_x000d__x000a_                &amp;lt;xs:element name=&amp;quot;NoteCaseTitle&amp;quot; type=&amp;quot;xs:string&amp;quot; minOccurs=&amp;quot;0&amp;quot; /&amp;gt;_x000d__x000a_                &amp;lt;xs:element name=&amp;quot;NoteComposerTitle&amp;quot; type=&amp;quot;xs:string&amp;quot; minOccurs=&amp;quot;0&amp;quot; /&amp;gt;_x000d__x000a_                &amp;lt;xs:element name=&amp;quot;NoteZoom&amp;quot; type=&amp;quot;xs:decimal&amp;quot; minOccurs=&amp;quot;0&amp;quot; /&amp;gt;_x000d__x000a_              &amp;lt;/xs:sequence&amp;gt;_x000d__x000a_            &amp;lt;/xs:complexType&amp;gt;_x000d__x000a_          &amp;lt;/xs:element&amp;gt;_x000d__x000a_          &amp;lt;xs:element name=&amp;quot;dt_MLDocsAnalysisPunishment&amp;quot;&amp;gt;_x000d__x000a_            &amp;lt;xs:complexType&amp;gt;_x000d__x000a_              &amp;lt;xs:sequence&amp;gt;_x000d__x000a_                &amp;lt;xs:element name=&amp;quot;MLDocsAnalysisPunishmentID&amp;quot; msdata:AutoIncrement=&amp;quot;true&amp;quot; msdata:AutoIncrementSeed=&amp;quot;-1&amp;quot; msdata:AutoIncrementStep=&amp;quot;-1&amp;quot; type=&amp;quot;xs:int&amp;quot; /&amp;gt;_x000d__x000a_                &amp;lt;xs:element name=&amp;quot;MLDocsAnalysisID&amp;quot; type=&amp;quot;xs:int&amp;quot; /&amp;gt;_x000d__x000a_                &amp;lt;xs:element name=&amp;quot;FileID&amp;quot; type=&amp;quot;xs:string&amp;quot; /&amp;gt;_x000d__x000a_                &amp;lt;xs:element name=&amp;quot;DocumentID&amp;quot; type=&amp;quot;xs:int&amp;quot; /&amp;gt;_x000d__x000a_                &amp;lt;xs:element name=&amp;quot;PunishmentType&amp;quot; type=&amp;quot;xs:int&amp;quot; /&amp;gt;_x000d__x000a_                &amp;lt;xs:element name=&amp;quot;Result&amp;quot; type=&amp;quot;xs:string&amp;quot; minOccurs=&amp;quot;0&amp;quot; /&amp;gt;_x000d__x000a_              &amp;lt;/xs:sequence&amp;gt;_x000d__x000a_            &amp;lt;/xs:complexType&amp;gt;_x000d__x000a_          &amp;lt;/xs:element&amp;gt;_x000d__x000a_          &amp;lt;xs:element name=&amp;quot;dt_DocumentSummaryVersion&amp;quot;&amp;gt;_x000d__x000a_            &amp;lt;xs:complexType&amp;gt;_x000d__x000a_              &amp;lt;xs:sequence&amp;gt;_x000d__x000a_                &amp;lt;xs:element name=&amp;quot;DocumentID&amp;quot; type=&amp;quot;xs:int&amp;quot; minOccurs=&amp;quot;0&amp;quot; /&amp;gt;_x000d__x000a_                &amp;lt;xs:element name=&amp;quot;DocumentChangeDate&amp;quot; type=&amp;quot;xs:dateTime&amp;quot; minOccurs=&amp;quot;0&amp;quot; /&amp;gt;_x000d__x000a_                &amp;lt;xs:element name=&amp;quot;DocumentDesc&amp;quot; type=&amp;quot;xs:string&amp;quot; minOccurs=&amp;quot;0&amp;quot; /&amp;gt;_x000d__x000a_                &amp;lt;xs:element name=&amp;quot;IsCritical&amp;quot; type=&amp;quot;xs:boolean&amp;quot; minOccurs=&amp;quot;0&amp;quot; /&amp;gt;_x000d__x000a_                &amp;lt;xs:element name=&amp;quot;IsScanned&amp;quot; type=&amp;quot;xs:boolean&amp;quot; minOccurs=&amp;quot;0&amp;quot; /&amp;gt;_x000d__x000a_              &amp;lt;/xs:sequence&amp;gt;_x000d__x000a_            &amp;lt;/xs:complexType&amp;gt;_x000d__x000a_          &amp;lt;/xs:element&amp;gt;_x000d__x000a_        &amp;lt;/xs:choice&amp;gt;_x000d__x000a_      &amp;lt;/xs:complexType&amp;gt;_x000d__x000a_      &amp;lt;xs:unique name=&amp;quot;Constraint1&amp;quot; msdata:PrimaryKey=&amp;quot;true&amp;quot;&amp;gt;_x000d__x000a_        &amp;lt;xs:selector xpath=&amp;quot;.//mstns:dt_DocumentCase&amp;quot; /&amp;gt;_x000d__x000a_        &amp;lt;xs:field xpath=&amp;quot;mstns:CaseID&amp;quot; /&amp;gt;_x000d__x000a_        &amp;lt;xs:field xpath=&amp;quot;mstns:DocumentID&amp;quot; /&amp;gt;_x000d__x000a_      &amp;lt;/xs:unique&amp;gt;_x000d__x000a_      &amp;lt;xs:unique name=&amp;quot;dt_Bookmark_Constraint1&amp;quot; msdata:ConstraintName=&amp;quot;Constraint1&amp;quot; msdata:PrimaryKey=&amp;quot;true&amp;quot;&amp;gt;_x000d__x000a_        &amp;lt;xs:selector xpath=&amp;quot;.//mstns:dt_Bookmark&amp;quot; /&amp;gt;_x000d__x000a_        &amp;lt;xs:field xpath=&amp;quot;mstns:BookmarkID&amp;quot; /&amp;gt;_x000d__x000a_      &amp;lt;/xs:unique&amp;gt;_x000d__x000a_      &amp;lt;xs:unique name=&amp;quot;dt_Document_Constraint1&amp;quot; msdata:ConstraintName=&amp;quot;Constraint1&amp;quot; msdata:PrimaryKey=&amp;quot;true&amp;quot;&amp;gt;_x000d__x000a_        &amp;lt;xs:selector xpath=&amp;quot;.//mstns:dt_Document&amp;quot; /&amp;gt;_x000d__x000a_        &amp;lt;xs:field xpath=&amp;quot;mstns:DocumentID&amp;quot; /&amp;gt;_x000d__x000a_      &amp;lt;/xs:unique&amp;gt;_x000d__x000a_      &amp;lt;xs:unique name=&amp;quot;DocumentDSKey1&amp;quot; msdata:PrimaryKey=&amp;quot;true&amp;quot;&amp;gt;_x000d__x000a_        &amp;lt;xs:selector xpath=&amp;quot;.//mstns:dt_DocumentNote&amp;quot; /&amp;gt;_x000d__x000a_        &amp;lt;xs:field xpath=&amp;quot;mstns:DocumentNoteID&amp;quot; /&amp;gt;_x000d__x000a_      &amp;lt;/xs:unique&amp;gt;_x000d__x000a_      &amp;lt;xs:keyref name=&amp;quot;dt_Documentdt_DocumentNote&amp;quot; refer=&amp;quot;dt_Document_Constraint1&amp;quot;&amp;gt;_x000d__x000a_        &amp;lt;xs:selector xpath=&amp;quot;.//mstns:dt_DocumentNote&amp;quot; /&amp;gt;_x000d__x000a_        &amp;lt;xs:field xpath=&amp;quot;mstns:DocumentID&amp;quot; /&amp;gt;_x000d__x000a_      &amp;lt;/xs:keyref&amp;gt;_x000d__x000a_      &amp;lt;xs:keyref name=&amp;quot;dt_Documentdt_Bookmark&amp;quot; refer=&amp;quot;dt_Document_Constraint1&amp;quot;&amp;gt;_x000d__x000a_        &amp;lt;xs:selector xpath=&amp;quot;.//mstns:dt_Bookmark&amp;quot; /&amp;gt;_x000d__x000a_        &amp;lt;xs:field xpath=&amp;quot;mstns:DocumentID&amp;quot; /&amp;gt;_x000d__x000a_      &amp;lt;/xs:keyref&amp;gt;_x000d__x000a_      &amp;lt;xs:keyref name=&amp;quot;dt_Documentdt_DocumentCase&amp;quot; refer=&amp;quot;dt_Document_Constraint1&amp;quot;&amp;gt;_x000d__x000a_        &amp;lt;xs:selector xpath=&amp;quot;.//mstns:dt_DocumentCase&amp;quot; /&amp;gt;_x000d__x000a_        &amp;lt;xs:field xpath=&amp;quot;mstns:DocumentID&amp;quot; /&amp;gt;_x000d__x000a_      &amp;lt;/xs:keyref&amp;gt;_x000d__x000a_    &amp;lt;/xs:element&amp;gt;_x000d__x000a_    &amp;lt;xs:annotation&amp;gt;_x000d__x000a_      &amp;lt;xs:appinfo&amp;gt;_x000d__x000a_        &amp;lt;msdata:Relationship name=&amp;quot;dt_Document_dt_DocumentSummaryVersion&amp;quot; msdata:parent=&amp;quot;dt_Document&amp;quot; msdata:child=&amp;quot;dt_DocumentSummaryVersion&amp;quot; msdata:parentkey=&amp;quot;OriginalDocumentID&amp;quot; msdata:childkey=&amp;quot;DocumentID&amp;quot; /&amp;gt;_x000d__x000a_      &amp;lt;/xs:appinfo&amp;gt;_x000d__x000a_    &amp;lt;/xs:annotation&amp;gt;_x000d__x000a_  &amp;lt;/xs:schema&amp;gt;_x000d__x000a_  &amp;lt;diffgr:diffgram xmlns:msdata=&amp;quot;urn:schemas-microsoft-com:xml-msdata&amp;quot; xmlns:diffgr=&amp;quot;urn:schemas-microsoft-com:xml-diffgram-v1&amp;quot;&amp;gt;_x000d__x000a_    &amp;lt;DocumentDS xmlns=&amp;quot;http://www.tempuri.org/DocumentDS.xsd&amp;quot;&amp;gt;_x000d__x000a_      &amp;lt;dt_DocumentCase diffgr:id=&amp;quot;dt_DocumentCase1&amp;quot; msdata:rowOrder=&amp;quot;0&amp;quot;&amp;gt;_x000d__x000a_        &amp;lt;CaseID&amp;gt;81263287&amp;lt;/CaseID&amp;gt;_x000d__x000a_        &amp;lt;DocumentID&amp;gt;447530074&amp;lt;/DocumentID&amp;gt;_x000d__x000a_      &amp;lt;/dt_DocumentCase&amp;gt;_x000d__x000a_      &amp;lt;dt_Document diffgr:id=&amp;quot;dt_Document1&amp;quot; msdata:rowOrder=&amp;quot;0&amp;quot;&amp;gt;_x000d__x000a_        &amp;lt;DocumentID&amp;gt;447530074&amp;lt;/DocumentID&amp;gt;_x000d__x000a_        &amp;lt;DocumentMainID&amp;gt;0&amp;lt;/DocumentMainID&amp;gt;_x000d__x000a_        &amp;lt;CaseID&amp;gt;81263287&amp;lt;/CaseID&amp;gt;_x000d__x000a_        &amp;lt;DocumentIncludedDate&amp;gt;2024-07-02T10:41:21.437+03:00&amp;lt;/DocumentIncludedDate&amp;gt;_x000d__x000a_        &amp;lt;DocumentDesc&amp;gt;פסק דין  שניתנה ע&amp;quot;י  סארי ג&amp;#39;יוסי&amp;lt;/DocumentDesc&amp;gt;_x000d__x000a_        &amp;lt;DocumentDirectionID&amp;gt;2&amp;lt;/DocumentDirectionID&amp;gt;_x000d__x000a_        &amp;lt;SourceID&amp;gt;1&amp;lt;/SourceID&amp;gt;_x000d__x000a_        &amp;lt;VersionNumber&amp;gt;2&amp;lt;/VersionNumber&amp;gt;_x000d__x000a_        &amp;lt;DocumentVersionTypeID&amp;gt;1&amp;lt;/DocumentVersionTypeID&amp;gt;_x000d__x000a_        &amp;lt;IsAttachment&amp;gt;false&amp;lt;/IsAttachment&amp;gt;_x000d__x000a_        &amp;lt;AttachmentOrdinalNumber&amp;gt;0&amp;lt;/AttachmentOrdinalNumber&amp;gt;_x000d__x000a_        &amp;lt;DocumentTypeID&amp;gt;73&amp;lt;/DocumentTypeID&amp;gt;_x000d__x000a_        &amp;lt;DocumentSavingDate&amp;gt;2024-07-02T10:41:21.437+03:00&amp;lt;/DocumentSavingDate&amp;gt;_x000d__x000a_        &amp;lt;DocumentChangeDate&amp;gt;2024-07-02T10:41:22.483+03:00&amp;lt;/DocumentChangeDate&amp;gt;_x000d__x000a_        &amp;lt;IsScanned&amp;gt;false&amp;lt;/IsScanned&amp;gt;_x000d__x000a_        &amp;lt;PageQuantity&amp;gt;0&amp;lt;/PageQuantity&amp;gt;_x000d__x000a_        &amp;lt;DocumentStatusID&amp;gt;2&amp;lt;/DocumentStatusID&amp;gt;_x000d__x000a_        &amp;lt;DocumentStatusChangeDate&amp;gt;2024-07-02T10:41:22.483+03:00&amp;lt;/DocumentStatusChangeDate&amp;gt;_x000d__x000a_        &amp;lt;TemplateVersionID&amp;gt;1&amp;lt;/TemplateVersionID&amp;gt;_x000d__x000a_        &amp;lt;DocumentChangeUserID&amp;gt;023469166@GOV.IL&amp;lt;/DocumentChangeUserID&amp;gt;_x000d__x000a_        &amp;lt;DocumentCreationUserID&amp;gt;023469166@GOV.IL&amp;lt;/DocumentCreationUserID&amp;gt;_x000d__x000a_        &amp;lt;OriginalDocumentID&amp;gt;447400267&amp;lt;/OriginalDocumentID&amp;gt;_x000d__x000a_        &amp;lt;PrivillegeID&amp;gt;2&amp;lt;/PrivillegeID&amp;gt;_x000d__x000a_        &amp;lt;FromPage&amp;gt;0&amp;lt;/FromPage&amp;gt;_x000d__x000a_        &amp;lt;ToPage&amp;gt;0&amp;lt;/ToPage&amp;gt;_x000d__x000a_        &amp;lt;FileID&amp;gt;721e647290010000090037f6aa88e161&amp;lt;/FileID&amp;gt;_x000d__x000a_        &amp;lt;URL&amp;gt;\\CTLNFSV02\doc_repository\30\822\2c9f607290010000090037f6aa88d424_copy.docx&amp;lt;/URL&amp;gt;_x000d__x000a_        &amp;lt;OlivePriority&amp;gt;1&amp;lt;/OlivePriority&amp;gt;_x000d__x000a_        &amp;lt;MetaDataTypeID&amp;gt;1&amp;lt;/MetaDataTypeID&amp;gt;_x000d__x000a_        &amp;lt;MetaDataChangeDate&amp;gt;2024-07-02T10:41:22.483+03: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2&amp;amp;lt;/anyType&amp;amp;gt;_x000d__x000a_    &amp;amp;lt;anyType xsi:type=&amp;quot;xsd:string&amp;quot;&amp;amp;gt;1&amp;amp;lt;/anyType&amp;amp;gt;_x000d__x000a_    &amp;amp;lt;anyType xsi:type=&amp;quot;xsd:string&amp;quot;&amp;amp;gt;סארי ג&amp;#39;יוסי&amp;amp;lt;/anyType&amp;amp;gt;_x000d__x000a_    &amp;amp;lt;anyType xsi:type=&amp;quot;xsd:dateTime&amp;quot;&amp;amp;gt;2024-07-02T10:36:55.367&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4-07-02T10:36:55.367+03:00&amp;lt;/PresentationDate&amp;gt;_x000d__x000a_      &amp;lt;/dt_Document&amp;gt;_x000d__x000a_    &amp;lt;/DocumentDS&amp;gt;_x000d__x000a_  &amp;lt;/diffgr:diffgram&amp;gt;_x000d__x000a_&amp;lt;/DocumentDS&amp;gt;"/>
    <w:docVar w:name="WordClientAssemblyName" w:val="NGCS.Decision.ClientWordBL"/>
    <w:docVar w:name="WordClientClassName" w:val="NGCS.Decision.ClientWordBL.VersionWordClient"/>
  </w:docVars>
  <w:rsids>
    <w:rsidRoot w:val="00694556"/>
    <w:rsid w:val="00000062"/>
    <w:rsid w:val="0000226B"/>
    <w:rsid w:val="00005C8B"/>
    <w:rsid w:val="0004565A"/>
    <w:rsid w:val="000529D2"/>
    <w:rsid w:val="000564AB"/>
    <w:rsid w:val="00064FBD"/>
    <w:rsid w:val="00082AB2"/>
    <w:rsid w:val="00082F61"/>
    <w:rsid w:val="000906FE"/>
    <w:rsid w:val="00095E15"/>
    <w:rsid w:val="00096AF7"/>
    <w:rsid w:val="000B344B"/>
    <w:rsid w:val="000C3B0F"/>
    <w:rsid w:val="000C3B60"/>
    <w:rsid w:val="000E0DD2"/>
    <w:rsid w:val="000E3AF1"/>
    <w:rsid w:val="000F0BC8"/>
    <w:rsid w:val="000F0DD6"/>
    <w:rsid w:val="00107E6D"/>
    <w:rsid w:val="0011194C"/>
    <w:rsid w:val="0011424C"/>
    <w:rsid w:val="001173C6"/>
    <w:rsid w:val="00122A9F"/>
    <w:rsid w:val="001367BC"/>
    <w:rsid w:val="00144D2A"/>
    <w:rsid w:val="0014653E"/>
    <w:rsid w:val="00180519"/>
    <w:rsid w:val="00191C82"/>
    <w:rsid w:val="001A57F3"/>
    <w:rsid w:val="001B7BFD"/>
    <w:rsid w:val="001C4003"/>
    <w:rsid w:val="001D4DBF"/>
    <w:rsid w:val="001E75CA"/>
    <w:rsid w:val="002126FC"/>
    <w:rsid w:val="002265FF"/>
    <w:rsid w:val="00226A81"/>
    <w:rsid w:val="00271B56"/>
    <w:rsid w:val="00272E32"/>
    <w:rsid w:val="002C344E"/>
    <w:rsid w:val="002E75E9"/>
    <w:rsid w:val="002F0B1E"/>
    <w:rsid w:val="00307A6A"/>
    <w:rsid w:val="00307C40"/>
    <w:rsid w:val="00315F1C"/>
    <w:rsid w:val="00320433"/>
    <w:rsid w:val="003230C7"/>
    <w:rsid w:val="00327E50"/>
    <w:rsid w:val="0033597A"/>
    <w:rsid w:val="00343D89"/>
    <w:rsid w:val="00362612"/>
    <w:rsid w:val="0036743F"/>
    <w:rsid w:val="003715DD"/>
    <w:rsid w:val="003823E0"/>
    <w:rsid w:val="003A4521"/>
    <w:rsid w:val="003D1C8C"/>
    <w:rsid w:val="003E38C7"/>
    <w:rsid w:val="003F05B6"/>
    <w:rsid w:val="0040096C"/>
    <w:rsid w:val="00403A05"/>
    <w:rsid w:val="00414F1F"/>
    <w:rsid w:val="00422BEE"/>
    <w:rsid w:val="00424313"/>
    <w:rsid w:val="0043125D"/>
    <w:rsid w:val="0043502B"/>
    <w:rsid w:val="004443AC"/>
    <w:rsid w:val="00444B02"/>
    <w:rsid w:val="00451E28"/>
    <w:rsid w:val="00455F68"/>
    <w:rsid w:val="00462C62"/>
    <w:rsid w:val="00465D36"/>
    <w:rsid w:val="00475BC2"/>
    <w:rsid w:val="004938CD"/>
    <w:rsid w:val="004C17EE"/>
    <w:rsid w:val="004C4BDF"/>
    <w:rsid w:val="004D1187"/>
    <w:rsid w:val="004D3AA0"/>
    <w:rsid w:val="004E1987"/>
    <w:rsid w:val="004E2E15"/>
    <w:rsid w:val="004E6E3C"/>
    <w:rsid w:val="00520898"/>
    <w:rsid w:val="00523621"/>
    <w:rsid w:val="00524986"/>
    <w:rsid w:val="005268F6"/>
    <w:rsid w:val="00534284"/>
    <w:rsid w:val="0054140F"/>
    <w:rsid w:val="00543EFF"/>
    <w:rsid w:val="00547DB7"/>
    <w:rsid w:val="00553D2C"/>
    <w:rsid w:val="00556093"/>
    <w:rsid w:val="00557717"/>
    <w:rsid w:val="00576A86"/>
    <w:rsid w:val="005779ED"/>
    <w:rsid w:val="005A3D02"/>
    <w:rsid w:val="005F4F09"/>
    <w:rsid w:val="00603F73"/>
    <w:rsid w:val="00613272"/>
    <w:rsid w:val="0061431B"/>
    <w:rsid w:val="00622BAA"/>
    <w:rsid w:val="006306CF"/>
    <w:rsid w:val="00630E23"/>
    <w:rsid w:val="00644E9A"/>
    <w:rsid w:val="00653CB2"/>
    <w:rsid w:val="00671BD5"/>
    <w:rsid w:val="006805C1"/>
    <w:rsid w:val="00686C21"/>
    <w:rsid w:val="006931C1"/>
    <w:rsid w:val="00694556"/>
    <w:rsid w:val="006C30C5"/>
    <w:rsid w:val="006D3B31"/>
    <w:rsid w:val="006E0D96"/>
    <w:rsid w:val="006E1A53"/>
    <w:rsid w:val="006F56E6"/>
    <w:rsid w:val="00704EDA"/>
    <w:rsid w:val="00712425"/>
    <w:rsid w:val="00721122"/>
    <w:rsid w:val="00734689"/>
    <w:rsid w:val="007351F7"/>
    <w:rsid w:val="00753019"/>
    <w:rsid w:val="00754801"/>
    <w:rsid w:val="00761441"/>
    <w:rsid w:val="00795365"/>
    <w:rsid w:val="007A351D"/>
    <w:rsid w:val="007B7765"/>
    <w:rsid w:val="007C2453"/>
    <w:rsid w:val="007C5BDD"/>
    <w:rsid w:val="007D3EE3"/>
    <w:rsid w:val="007D45E3"/>
    <w:rsid w:val="007E6115"/>
    <w:rsid w:val="007F4609"/>
    <w:rsid w:val="00805EFF"/>
    <w:rsid w:val="00814468"/>
    <w:rsid w:val="008176A1"/>
    <w:rsid w:val="00820005"/>
    <w:rsid w:val="00844318"/>
    <w:rsid w:val="00860102"/>
    <w:rsid w:val="00863F5D"/>
    <w:rsid w:val="00870890"/>
    <w:rsid w:val="00873602"/>
    <w:rsid w:val="00875D12"/>
    <w:rsid w:val="00876170"/>
    <w:rsid w:val="0088479D"/>
    <w:rsid w:val="00891F42"/>
    <w:rsid w:val="00893B75"/>
    <w:rsid w:val="00896889"/>
    <w:rsid w:val="008A2720"/>
    <w:rsid w:val="008A6E97"/>
    <w:rsid w:val="008C4D98"/>
    <w:rsid w:val="008C5714"/>
    <w:rsid w:val="008D10B2"/>
    <w:rsid w:val="00903896"/>
    <w:rsid w:val="00906F3D"/>
    <w:rsid w:val="0094424E"/>
    <w:rsid w:val="00955642"/>
    <w:rsid w:val="009622DF"/>
    <w:rsid w:val="0096493F"/>
    <w:rsid w:val="00967DFF"/>
    <w:rsid w:val="009705B3"/>
    <w:rsid w:val="00994341"/>
    <w:rsid w:val="009B3324"/>
    <w:rsid w:val="009D1A48"/>
    <w:rsid w:val="009E1CE7"/>
    <w:rsid w:val="009E461A"/>
    <w:rsid w:val="009E4EA5"/>
    <w:rsid w:val="009F164B"/>
    <w:rsid w:val="009F323C"/>
    <w:rsid w:val="00A120ED"/>
    <w:rsid w:val="00A3392B"/>
    <w:rsid w:val="00A46717"/>
    <w:rsid w:val="00A85E34"/>
    <w:rsid w:val="00A9144F"/>
    <w:rsid w:val="00A94B64"/>
    <w:rsid w:val="00AA3229"/>
    <w:rsid w:val="00AA7442"/>
    <w:rsid w:val="00AA7596"/>
    <w:rsid w:val="00AB3AE3"/>
    <w:rsid w:val="00AB4F1D"/>
    <w:rsid w:val="00AB5E52"/>
    <w:rsid w:val="00AC3B02"/>
    <w:rsid w:val="00AC3B7B"/>
    <w:rsid w:val="00AC5209"/>
    <w:rsid w:val="00AD17BA"/>
    <w:rsid w:val="00AE0E34"/>
    <w:rsid w:val="00AE729E"/>
    <w:rsid w:val="00AE7752"/>
    <w:rsid w:val="00AF7FDA"/>
    <w:rsid w:val="00B515E2"/>
    <w:rsid w:val="00B5356E"/>
    <w:rsid w:val="00B809AD"/>
    <w:rsid w:val="00B80CBD"/>
    <w:rsid w:val="00B859C5"/>
    <w:rsid w:val="00B86096"/>
    <w:rsid w:val="00B964D9"/>
    <w:rsid w:val="00BA0A7C"/>
    <w:rsid w:val="00BA517C"/>
    <w:rsid w:val="00BB3D05"/>
    <w:rsid w:val="00BB53D3"/>
    <w:rsid w:val="00BB73BE"/>
    <w:rsid w:val="00BC2D89"/>
    <w:rsid w:val="00BD6531"/>
    <w:rsid w:val="00BE05B2"/>
    <w:rsid w:val="00BF1908"/>
    <w:rsid w:val="00C17CAE"/>
    <w:rsid w:val="00C22D93"/>
    <w:rsid w:val="00C23458"/>
    <w:rsid w:val="00C23AC9"/>
    <w:rsid w:val="00C31120"/>
    <w:rsid w:val="00C34482"/>
    <w:rsid w:val="00C43648"/>
    <w:rsid w:val="00C50A9F"/>
    <w:rsid w:val="00C642FA"/>
    <w:rsid w:val="00C770E3"/>
    <w:rsid w:val="00CC7622"/>
    <w:rsid w:val="00CD608F"/>
    <w:rsid w:val="00CF6BB7"/>
    <w:rsid w:val="00D04AA4"/>
    <w:rsid w:val="00D27982"/>
    <w:rsid w:val="00D33B86"/>
    <w:rsid w:val="00D44968"/>
    <w:rsid w:val="00D53924"/>
    <w:rsid w:val="00D55D0C"/>
    <w:rsid w:val="00D93D81"/>
    <w:rsid w:val="00D96D8C"/>
    <w:rsid w:val="00DA2495"/>
    <w:rsid w:val="00DA6649"/>
    <w:rsid w:val="00DC1259"/>
    <w:rsid w:val="00DC1BD2"/>
    <w:rsid w:val="00DC2571"/>
    <w:rsid w:val="00DC487C"/>
    <w:rsid w:val="00DD05A8"/>
    <w:rsid w:val="00DD4335"/>
    <w:rsid w:val="00DE1E7D"/>
    <w:rsid w:val="00DE6BF6"/>
    <w:rsid w:val="00E00709"/>
    <w:rsid w:val="00E1068A"/>
    <w:rsid w:val="00E25884"/>
    <w:rsid w:val="00E25B55"/>
    <w:rsid w:val="00E31C2B"/>
    <w:rsid w:val="00E33ADC"/>
    <w:rsid w:val="00E5426A"/>
    <w:rsid w:val="00E54642"/>
    <w:rsid w:val="00E72DA0"/>
    <w:rsid w:val="00E80CBE"/>
    <w:rsid w:val="00E9269D"/>
    <w:rsid w:val="00E962E3"/>
    <w:rsid w:val="00EA2AA2"/>
    <w:rsid w:val="00EB6C79"/>
    <w:rsid w:val="00EC37E9"/>
    <w:rsid w:val="00F00A80"/>
    <w:rsid w:val="00F038D8"/>
    <w:rsid w:val="00F06995"/>
    <w:rsid w:val="00F1120D"/>
    <w:rsid w:val="00F12D66"/>
    <w:rsid w:val="00F13623"/>
    <w:rsid w:val="00F43DD9"/>
    <w:rsid w:val="00F44D1D"/>
    <w:rsid w:val="00F67EC4"/>
    <w:rsid w:val="00F70154"/>
    <w:rsid w:val="00F84B6D"/>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475BC2"/>
    <w:pPr>
      <w:ind w:left="720"/>
      <w:contextualSpacing/>
    </w:pPr>
  </w:style>
  <w:style w:type="character" w:customStyle="1" w:styleId="Ruller4">
    <w:name w:val="Ruller4 תו"/>
    <w:link w:val="Ruller40"/>
    <w:locked/>
    <w:rsid w:val="0004565A"/>
    <w:rPr>
      <w:rFonts w:ascii="Arial TUR" w:hAnsi="Arial TUR" w:cs="FrankRuehl"/>
      <w:spacing w:val="10"/>
      <w:szCs w:val="28"/>
    </w:rPr>
  </w:style>
  <w:style w:type="paragraph" w:customStyle="1" w:styleId="Ruller40">
    <w:name w:val="Ruller4"/>
    <w:basedOn w:val="a"/>
    <w:link w:val="Ruller4"/>
    <w:rsid w:val="0004565A"/>
    <w:pPr>
      <w:tabs>
        <w:tab w:val="left" w:pos="800"/>
      </w:tabs>
      <w:overflowPunct w:val="0"/>
      <w:autoSpaceDE w:val="0"/>
      <w:autoSpaceDN w:val="0"/>
      <w:adjustRightInd w:val="0"/>
      <w:spacing w:line="360" w:lineRule="auto"/>
      <w:jc w:val="both"/>
    </w:pPr>
    <w:rPr>
      <w:rFonts w:ascii="Arial TUR" w:hAnsi="Arial TUR" w:cs="FrankRuehl"/>
      <w:noProof w:val="0"/>
      <w:spacing w:val="10"/>
      <w:sz w:val="20"/>
      <w:szCs w:val="28"/>
    </w:rPr>
  </w:style>
  <w:style w:type="character" w:customStyle="1" w:styleId="Ruller5">
    <w:name w:val="Ruller5 תו"/>
    <w:basedOn w:val="a0"/>
    <w:link w:val="Ruller50"/>
    <w:locked/>
    <w:rsid w:val="0004565A"/>
    <w:rPr>
      <w:rFonts w:ascii="Arial TUR" w:hAnsi="Arial TUR" w:cs="FrankRuehl"/>
      <w:spacing w:val="10"/>
      <w:szCs w:val="28"/>
    </w:rPr>
  </w:style>
  <w:style w:type="paragraph" w:customStyle="1" w:styleId="Ruller50">
    <w:name w:val="Ruller5"/>
    <w:basedOn w:val="a"/>
    <w:link w:val="Ruller5"/>
    <w:rsid w:val="0004565A"/>
    <w:pPr>
      <w:overflowPunct w:val="0"/>
      <w:autoSpaceDE w:val="0"/>
      <w:autoSpaceDN w:val="0"/>
      <w:adjustRightInd w:val="0"/>
      <w:ind w:left="1642" w:right="1282"/>
      <w:jc w:val="both"/>
    </w:pPr>
    <w:rPr>
      <w:rFonts w:ascii="Arial TUR" w:hAnsi="Arial TUR" w:cs="FrankRuehl"/>
      <w:noProof w:val="0"/>
      <w:spacing w:val="10"/>
      <w:sz w:val="20"/>
      <w:szCs w:val="28"/>
    </w:rPr>
  </w:style>
  <w:style w:type="paragraph" w:customStyle="1" w:styleId="12">
    <w:name w:val="רגיל + ‏12 נק'"/>
    <w:aliases w:val="מיושר לשני הצדדים,מרווח בין שורות:  שורה וחצי"/>
    <w:basedOn w:val="a"/>
    <w:rsid w:val="00EA2AA2"/>
    <w:rPr>
      <w:b/>
      <w:bCs/>
      <w:noProof w:val="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00027">
      <w:bodyDiv w:val="1"/>
      <w:marLeft w:val="0"/>
      <w:marRight w:val="0"/>
      <w:marTop w:val="0"/>
      <w:marBottom w:val="0"/>
      <w:divBdr>
        <w:top w:val="none" w:sz="0" w:space="0" w:color="auto"/>
        <w:left w:val="none" w:sz="0" w:space="0" w:color="auto"/>
        <w:bottom w:val="none" w:sz="0" w:space="0" w:color="auto"/>
        <w:right w:val="none" w:sz="0" w:space="0" w:color="auto"/>
      </w:divBdr>
    </w:div>
    <w:div w:id="253058032">
      <w:bodyDiv w:val="1"/>
      <w:marLeft w:val="0"/>
      <w:marRight w:val="0"/>
      <w:marTop w:val="0"/>
      <w:marBottom w:val="0"/>
      <w:divBdr>
        <w:top w:val="none" w:sz="0" w:space="0" w:color="auto"/>
        <w:left w:val="none" w:sz="0" w:space="0" w:color="auto"/>
        <w:bottom w:val="none" w:sz="0" w:space="0" w:color="auto"/>
        <w:right w:val="none" w:sz="0" w:space="0" w:color="auto"/>
      </w:divBdr>
    </w:div>
    <w:div w:id="312877048">
      <w:bodyDiv w:val="1"/>
      <w:marLeft w:val="0"/>
      <w:marRight w:val="0"/>
      <w:marTop w:val="0"/>
      <w:marBottom w:val="0"/>
      <w:divBdr>
        <w:top w:val="none" w:sz="0" w:space="0" w:color="auto"/>
        <w:left w:val="none" w:sz="0" w:space="0" w:color="auto"/>
        <w:bottom w:val="none" w:sz="0" w:space="0" w:color="auto"/>
        <w:right w:val="none" w:sz="0" w:space="0" w:color="auto"/>
      </w:divBdr>
    </w:div>
    <w:div w:id="556624239">
      <w:bodyDiv w:val="1"/>
      <w:marLeft w:val="0"/>
      <w:marRight w:val="0"/>
      <w:marTop w:val="0"/>
      <w:marBottom w:val="0"/>
      <w:divBdr>
        <w:top w:val="none" w:sz="0" w:space="0" w:color="auto"/>
        <w:left w:val="none" w:sz="0" w:space="0" w:color="auto"/>
        <w:bottom w:val="none" w:sz="0" w:space="0" w:color="auto"/>
        <w:right w:val="none" w:sz="0" w:space="0" w:color="auto"/>
      </w:divBdr>
    </w:div>
    <w:div w:id="739522538">
      <w:bodyDiv w:val="1"/>
      <w:marLeft w:val="0"/>
      <w:marRight w:val="0"/>
      <w:marTop w:val="0"/>
      <w:marBottom w:val="0"/>
      <w:divBdr>
        <w:top w:val="none" w:sz="0" w:space="0" w:color="auto"/>
        <w:left w:val="none" w:sz="0" w:space="0" w:color="auto"/>
        <w:bottom w:val="none" w:sz="0" w:space="0" w:color="auto"/>
        <w:right w:val="none" w:sz="0" w:space="0" w:color="auto"/>
      </w:divBdr>
    </w:div>
    <w:div w:id="1198201579">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387530202">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2081361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gif"/><Relationship Id="rId5" Type="http://schemas.openxmlformats.org/officeDocument/2006/relationships/settings" Target="settings.xml"/><Relationship Id="rId15" Type="http://schemas.openxmlformats.org/officeDocument/2006/relationships/glossaryDocument" Target="glossary/document.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6377AB" w:rsidP="006377AB">
          <w:pPr>
            <w:pStyle w:val="E460D38E05664FF79D4EFF282EF8EC9927"/>
          </w:pPr>
          <w:r>
            <w:rPr>
              <w:rFonts w:hint="cs"/>
              <w:rtl/>
            </w:rPr>
            <w:t xml:space="preserve">     </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6377AB" w:rsidP="006377AB">
          <w:pPr>
            <w:pStyle w:val="F5EF4663D5094D57BB3FEC6B89CF5C8E5"/>
          </w:pPr>
          <w:r>
            <w:rPr>
              <w:b/>
              <w:bCs/>
              <w:noProof w:val="0"/>
              <w:sz w:val="26"/>
              <w:szCs w:val="26"/>
              <w:rtl/>
            </w:rPr>
            <w:t>שם תיק ללא שמות חסויים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TUR">
    <w:charset w:val="00"/>
    <w:family w:val="swiss"/>
    <w:pitch w:val="variable"/>
    <w:sig w:usb0="E0003A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71B02"/>
    <w:rsid w:val="000A4ACE"/>
    <w:rsid w:val="001D696D"/>
    <w:rsid w:val="002D02C4"/>
    <w:rsid w:val="00345C9D"/>
    <w:rsid w:val="0048651F"/>
    <w:rsid w:val="005157ED"/>
    <w:rsid w:val="005171E8"/>
    <w:rsid w:val="00556D67"/>
    <w:rsid w:val="006377AB"/>
    <w:rsid w:val="00793995"/>
    <w:rsid w:val="007C6F98"/>
    <w:rsid w:val="007E254A"/>
    <w:rsid w:val="00817811"/>
    <w:rsid w:val="008B4366"/>
    <w:rsid w:val="009133C7"/>
    <w:rsid w:val="009178E4"/>
    <w:rsid w:val="00961B27"/>
    <w:rsid w:val="009A4BEE"/>
    <w:rsid w:val="00A51CA1"/>
    <w:rsid w:val="00AA7CE3"/>
    <w:rsid w:val="00AD53D7"/>
    <w:rsid w:val="00B50DB2"/>
    <w:rsid w:val="00B91FA3"/>
    <w:rsid w:val="00BE6557"/>
    <w:rsid w:val="00C96C06"/>
    <w:rsid w:val="00CE1DCB"/>
    <w:rsid w:val="00D24521"/>
    <w:rsid w:val="00E31BF6"/>
    <w:rsid w:val="00E81DB1"/>
    <w:rsid w:val="00EA1D08"/>
    <w:rsid w:val="00EE637E"/>
    <w:rsid w:val="00F00DF8"/>
    <w:rsid w:val="00F04DC1"/>
    <w:rsid w:val="00F27008"/>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377AB"/>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7D8E46D2581B4CD9ACC623ACA7D52F754">
    <w:name w:val="7D8E46D2581B4CD9ACC623ACA7D52F754"/>
    <w:rsid w:val="001D696D"/>
    <w:pPr>
      <w:bidi/>
      <w:spacing w:after="0" w:line="240" w:lineRule="auto"/>
    </w:pPr>
    <w:rPr>
      <w:rFonts w:ascii="Times New Roman" w:eastAsia="Times New Roman" w:hAnsi="Times New Roman" w:cs="David"/>
      <w:noProof/>
      <w:sz w:val="24"/>
      <w:szCs w:val="24"/>
    </w:rPr>
  </w:style>
  <w:style w:type="paragraph" w:customStyle="1" w:styleId="C3B0FBA23B684176B12DDEEA2C39785F4">
    <w:name w:val="C3B0FBA23B684176B12DDEEA2C39785F4"/>
    <w:rsid w:val="001D696D"/>
    <w:pPr>
      <w:bidi/>
      <w:spacing w:after="0" w:line="240" w:lineRule="auto"/>
    </w:pPr>
    <w:rPr>
      <w:rFonts w:ascii="Times New Roman" w:eastAsia="Times New Roman" w:hAnsi="Times New Roman" w:cs="David"/>
      <w:noProof/>
      <w:sz w:val="24"/>
      <w:szCs w:val="24"/>
    </w:rPr>
  </w:style>
  <w:style w:type="paragraph" w:customStyle="1" w:styleId="C0D9D4EB038F4D9DB24B5A2B7A8F2E7B2">
    <w:name w:val="C0D9D4EB038F4D9DB24B5A2B7A8F2E7B2"/>
    <w:rsid w:val="001D696D"/>
    <w:pPr>
      <w:bidi/>
      <w:spacing w:after="0" w:line="240" w:lineRule="auto"/>
    </w:pPr>
    <w:rPr>
      <w:rFonts w:ascii="Times New Roman" w:eastAsia="Times New Roman" w:hAnsi="Times New Roman" w:cs="David"/>
      <w:noProof/>
      <w:sz w:val="24"/>
      <w:szCs w:val="24"/>
    </w:rPr>
  </w:style>
  <w:style w:type="paragraph" w:customStyle="1" w:styleId="D0835A28627A476594973290286577B22">
    <w:name w:val="D0835A28627A476594973290286577B22"/>
    <w:rsid w:val="001D696D"/>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1D696D"/>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1D696D"/>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1D696D"/>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D696D"/>
    <w:pPr>
      <w:bidi/>
      <w:spacing w:after="0" w:line="240" w:lineRule="auto"/>
    </w:pPr>
    <w:rPr>
      <w:rFonts w:ascii="Times New Roman" w:eastAsia="Times New Roman" w:hAnsi="Times New Roman" w:cs="David"/>
      <w:noProof/>
      <w:sz w:val="24"/>
      <w:szCs w:val="24"/>
    </w:rPr>
  </w:style>
  <w:style w:type="paragraph" w:customStyle="1" w:styleId="F5EF4663D5094D57BB3FEC6B89CF5C8E4">
    <w:name w:val="F5EF4663D5094D57BB3FEC6B89CF5C8E4"/>
    <w:rsid w:val="001D696D"/>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1D696D"/>
    <w:pPr>
      <w:bidi/>
      <w:spacing w:after="0" w:line="240" w:lineRule="auto"/>
    </w:pPr>
    <w:rPr>
      <w:rFonts w:ascii="Times New Roman" w:eastAsia="Times New Roman" w:hAnsi="Times New Roman" w:cs="David"/>
      <w:noProof/>
      <w:sz w:val="24"/>
      <w:szCs w:val="24"/>
    </w:rPr>
  </w:style>
  <w:style w:type="paragraph" w:customStyle="1" w:styleId="7D8E46D2581B4CD9ACC623ACA7D52F755">
    <w:name w:val="7D8E46D2581B4CD9ACC623ACA7D52F755"/>
    <w:rsid w:val="006377AB"/>
    <w:pPr>
      <w:bidi/>
      <w:spacing w:after="0" w:line="240" w:lineRule="auto"/>
    </w:pPr>
    <w:rPr>
      <w:rFonts w:ascii="Times New Roman" w:eastAsia="Times New Roman" w:hAnsi="Times New Roman" w:cs="David"/>
      <w:noProof/>
      <w:sz w:val="24"/>
      <w:szCs w:val="24"/>
    </w:rPr>
  </w:style>
  <w:style w:type="paragraph" w:customStyle="1" w:styleId="C3B0FBA23B684176B12DDEEA2C39785F5">
    <w:name w:val="C3B0FBA23B684176B12DDEEA2C39785F5"/>
    <w:rsid w:val="006377AB"/>
    <w:pPr>
      <w:bidi/>
      <w:spacing w:after="0" w:line="240" w:lineRule="auto"/>
    </w:pPr>
    <w:rPr>
      <w:rFonts w:ascii="Times New Roman" w:eastAsia="Times New Roman" w:hAnsi="Times New Roman" w:cs="David"/>
      <w:noProof/>
      <w:sz w:val="24"/>
      <w:szCs w:val="24"/>
    </w:rPr>
  </w:style>
  <w:style w:type="paragraph" w:customStyle="1" w:styleId="C0D9D4EB038F4D9DB24B5A2B7A8F2E7B3">
    <w:name w:val="C0D9D4EB038F4D9DB24B5A2B7A8F2E7B3"/>
    <w:rsid w:val="006377AB"/>
    <w:pPr>
      <w:bidi/>
      <w:spacing w:after="0" w:line="240" w:lineRule="auto"/>
    </w:pPr>
    <w:rPr>
      <w:rFonts w:ascii="Times New Roman" w:eastAsia="Times New Roman" w:hAnsi="Times New Roman" w:cs="David"/>
      <w:noProof/>
      <w:sz w:val="24"/>
      <w:szCs w:val="24"/>
    </w:rPr>
  </w:style>
  <w:style w:type="paragraph" w:customStyle="1" w:styleId="D0835A28627A476594973290286577B23">
    <w:name w:val="D0835A28627A476594973290286577B23"/>
    <w:rsid w:val="006377AB"/>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6377AB"/>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6377AB"/>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6377AB"/>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6377AB"/>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6377AB"/>
    <w:pPr>
      <w:bidi/>
      <w:spacing w:after="0" w:line="240" w:lineRule="auto"/>
    </w:pPr>
    <w:rPr>
      <w:rFonts w:ascii="Times New Roman" w:eastAsia="Times New Roman" w:hAnsi="Times New Roman" w:cs="David"/>
      <w:noProof/>
      <w:sz w:val="24"/>
      <w:szCs w:val="24"/>
    </w:rPr>
  </w:style>
  <w:style w:type="paragraph" w:customStyle="1" w:styleId="F5EF4663D5094D57BB3FEC6B89CF5C8E5">
    <w:name w:val="F5EF4663D5094D57BB3FEC6B89CF5C8E5"/>
    <w:rsid w:val="006377AB"/>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6377AB"/>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81263287</CaseID>
    <CaseJudicialPersonPresentationDS>
      <CaseJudicalPersonActive>
        <CaseID>81263287</CaseID>
        <JudicialPersonID>023469166@GOV.IL</JudicialPersonID>
        <JudicialPersonTypeID>1</JudicialPersonTypeID>
        <JudicialTypeID>3</JudicialTypeID>
        <IsChairman>true</IsChairman>
        <TreatmentStartDate>2024-05-28T12:41:10.7+03:00</TreatmentStartDate>
        <TreatmentFinishDate>9999-12-31T23:59:59.997+02:00</TreatmentFinishDate>
        <IdentificationCardNumber>023469166</IdentificationCardNumber>
        <DisplayName>סארי ג'יוסי</DisplayName>
        <JudicialTypeName>הרכב שופטים</JudicialTypeName>
        <CaseJudicialGroupNumber>581472</CaseJudicialGroupNumber>
        <FirstName>סארי</FirstName>
        <LastName>ג'יוסי</LastName>
        <JudicialPersonTitle>שופט</JudicialPersonTitle>
      </CaseJudicalPersonActive>
      <CaseJudicalPersonActive>
        <CaseID>81263287</CaseID>
        <JudicialPersonID>028600542@GOV.IL</JudicialPersonID>
        <JudicialPersonTypeID>1</JudicialPersonTypeID>
        <JudicialTypeID>3</JudicialTypeID>
        <IsChairman>false</IsChairman>
        <TreatmentStartDate>2024-05-28T12:41:10.7+03:00</TreatmentStartDate>
        <TreatmentFinishDate>9999-12-31T23:59:59.997+02:00</TreatmentFinishDate>
        <IdentificationCardNumber>028600542</IdentificationCardNumber>
        <DisplayName>עפרה אטיאס</DisplayName>
        <JudicialTypeName>הרכב שופטים</JudicialTypeName>
        <CaseJudicialGroupNumber>581472</CaseJudicialGroupNumber>
        <FirstName>עפרה</FirstName>
        <LastName>אטיאס</LastName>
        <JudicialPersonTitle>שופט</JudicialPersonTitle>
      </CaseJudicalPersonActive>
      <CaseJudicalPersonActive>
        <CaseID>81263287</CaseID>
        <JudicialPersonID>027879451@GOV.IL</JudicialPersonID>
        <JudicialPersonTypeID>1</JudicialPersonTypeID>
        <JudicialTypeID>3</JudicialTypeID>
        <IsChairman>false</IsChairman>
        <TreatmentStartDate>2024-05-28T12:41:10.7+03:00</TreatmentStartDate>
        <TreatmentFinishDate>9999-12-31T23:59:59.997+02:00</TreatmentFinishDate>
        <IdentificationCardNumber>027879451</IdentificationCardNumber>
        <DisplayName>ניצן סילמן</DisplayName>
        <JudicialTypeName>הרכב שופטים</JudicialTypeName>
        <CaseJudicialGroupNumber>581472</CaseJudicialGroupNumber>
        <FirstName>ניצן</FirstName>
        <LastName>סילמן</LastName>
        <JudicialPersonTitle>שופט</JudicialPersonTitle>
      </CaseJudicalPersonActive>
    </CaseJudicialPersonPresentationDS>
    <CasePartiesSelectionDS>
      <CaseParties>
        <PartyTypeName>מסייע</PartyTypeName>
        <ProceedingType>כתב טענות עיקרי</ProceedingType>
        <PleaName>הודעת ערעור</PleaName>
        <PartyBelonging> - </PartyBelonging>
        <RoleName>קטינים</RoleName>
        <IsSubProceeding>FALSE</IsSubProceeding>
        <FullName>ליה ג'לאם</FullName>
        <FirstName>ליה</FirstName>
        <LastName>ג'לאם</LastName>
        <PartyPropertyName/>
        <AuthenticationTypeAndNumber>ת"ז 339826885</AuthenticationTypeAndNumber>
        <RepresentatedOrRepresentativesNames>נסרין אעלימי</RepresentatedOrRepresentativesNames>
        <RepresentatedOrRepresentativesCount>1</RepresentatedOrRepresentativesCount>
        <InvitedBy/>
        <CaseID>81263287</CaseID>
        <CaseJudicialPersonPresentationDS>
          <CaseJudicalPersonActive>
            <CaseID>81263287</CaseID>
            <JudicialPersonID>023469166@GOV.IL</JudicialPersonID>
            <JudicialPersonTypeID>1</JudicialPersonTypeID>
            <JudicialTypeID>3</JudicialTypeID>
            <IsChairman>true</IsChairman>
            <TreatmentStartDate>2024-05-28T12:41:10.7+03:00</TreatmentStartDate>
            <TreatmentFinishDate>9999-12-31T23:59:59.997+02:00</TreatmentFinishDate>
            <IdentificationCardNumber>023469166</IdentificationCardNumber>
            <DisplayName>סארי ג'יוסי</DisplayName>
            <JudicialTypeName>הרכב שופטים</JudicialTypeName>
            <CaseJudicialGroupNumber>581472</CaseJudicialGroupNumber>
            <FirstName>סארי</FirstName>
            <LastName>ג'יוסי</LastName>
            <JudicialPersonTitle>שופט</JudicialPersonTitle>
          </CaseJudicalPersonActive>
          <CaseJudicalPersonActive>
            <CaseID>81263287</CaseID>
            <JudicialPersonID>028600542@GOV.IL</JudicialPersonID>
            <JudicialPersonTypeID>1</JudicialPersonTypeID>
            <JudicialTypeID>3</JudicialTypeID>
            <IsChairman>false</IsChairman>
            <TreatmentStartDate>2024-05-28T12:41:10.7+03:00</TreatmentStartDate>
            <TreatmentFinishDate>9999-12-31T23:59:59.997+02:00</TreatmentFinishDate>
            <IdentificationCardNumber>028600542</IdentificationCardNumber>
            <DisplayName>עפרה אטיאס</DisplayName>
            <JudicialTypeName>הרכב שופטים</JudicialTypeName>
            <CaseJudicialGroupNumber>581472</CaseJudicialGroupNumber>
            <FirstName>עפרה</FirstName>
            <LastName>אטיאס</LastName>
            <JudicialPersonTitle>שופט</JudicialPersonTitle>
          </CaseJudicalPersonActive>
          <CaseJudicalPersonActive>
            <CaseID>81263287</CaseID>
            <JudicialPersonID>027879451@GOV.IL</JudicialPersonID>
            <JudicialPersonTypeID>1</JudicialPersonTypeID>
            <JudicialTypeID>3</JudicialTypeID>
            <IsChairman>false</IsChairman>
            <TreatmentStartDate>2024-05-28T12:41:10.7+03:00</TreatmentStartDate>
            <TreatmentFinishDate>9999-12-31T23:59:59.997+02:00</TreatmentFinishDate>
            <IdentificationCardNumber>027879451</IdentificationCardNumber>
            <DisplayName>ניצן סילמן</DisplayName>
            <JudicialTypeName>הרכב שופטים</JudicialTypeName>
            <CaseJudicialGroupNumber>581472</CaseJudicialGroupNumber>
            <FirstName>ניצן</FirstName>
            <LastName>סילמן</LastName>
            <JudicialPersonTitle>שופט</JudicialPersonTitle>
          </CaseJudicalPersonActive>
        </CaseJudicialPersonPresentationDS>
        <CasePartyID>270727085</CasePartyID>
        <PartyTypeID>3</PartyTypeID>
        <ActivityStatusID>1</ActivityStatusID>
        <LegalEntityID>81615056</LegalEntityID>
        <CaseLegalEntityID>129051908</CaseLegalEntityID>
        <AssistantRoleID>104</AssistantRoleID>
        <AuthenticationTypeID>1</AuthenticationTypeID>
        <AuthenticationTypeName>ת"ז</AuthenticationTypeName>
        <LegalEntityNumber>339826885</LegalEntityNumber>
        <IsMainPartyType>true</IsMainPartyType>
        <CaseDisplayIdentifier>67846-05-24</CaseDisplayIdentifier>
        <CaseTypeID>63</CaseTypeID>
        <CaseTypeName>ערעור משפחה (עמ"ש)</CaseTypeName>
        <CaseName>ג'לאם נ' אבו-אלקאהר</CaseName>
        <FullAddress/>
        <MotionID>0</MotionID>
        <CasePleaID>0</CasePleaID>
        <BirthDate>2022-04-04T00:00:00+03:00</BirthDate>
        <FatherName>אחמד</FatherName>
        <LinkedCaseID>0</LinkedCaseID>
        <PartyID>1</PartyID>
        <CasePartyCategoryID>2</CasePartyCategoryID>
        <PleaTypeID>6</PleaTypeID>
        <GroupPartyAlias/>
        <IsConverted>false</IsConverted>
        <LegalEntityRegisteredNameID>10589833</LegalEntityRegisteredNameID>
        <LegalEntityNameID>96630637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ליה ג'לאם</PublicationProhibitedFullName>
      </CaseParties>
      <CaseParties>
        <PartyTypeName>בא כוח</PartyTypeName>
        <ProceedingType>כתב טענות עיקרי</ProceedingType>
        <PleaName>הודעת ערעור</PleaName>
        <PartyBelonging> - </PartyBelonging>
        <RoleName>בא כוח מסייעים</RoleName>
        <IsSubProceeding>FALSE</IsSubProceeding>
        <FullName>נסרין אעלימי</FullName>
        <FirstName>נסרין</FirstName>
        <LastName>אעלימי</LastName>
        <PartyPropertyName/>
        <AuthenticationTypeAndNumber>מ.ר. 28920</AuthenticationTypeAndNumber>
        <RepresentatedOrRepresentativesNames/>
        <RepresentatedOrRepresentativesCount>0</RepresentatedOrRepresentativesCount>
        <InvitedBy/>
        <CaseID>81263287</CaseID>
        <CaseJudicialPersonPresentationDS>
          <CaseJudicalPersonActive>
            <CaseID>81263287</CaseID>
            <JudicialPersonID>023469166@GOV.IL</JudicialPersonID>
            <JudicialPersonTypeID>1</JudicialPersonTypeID>
            <JudicialTypeID>3</JudicialTypeID>
            <IsChairman>true</IsChairman>
            <TreatmentStartDate>2024-05-28T12:41:10.7+03:00</TreatmentStartDate>
            <TreatmentFinishDate>9999-12-31T23:59:59.997+02:00</TreatmentFinishDate>
            <IdentificationCardNumber>023469166</IdentificationCardNumber>
            <DisplayName>סארי ג'יוסי</DisplayName>
            <JudicialTypeName>הרכב שופטים</JudicialTypeName>
            <CaseJudicialGroupNumber>581472</CaseJudicialGroupNumber>
            <FirstName>סארי</FirstName>
            <LastName>ג'יוסי</LastName>
            <JudicialPersonTitle>שופט</JudicialPersonTitle>
          </CaseJudicalPersonActive>
          <CaseJudicalPersonActive>
            <CaseID>81263287</CaseID>
            <JudicialPersonID>028600542@GOV.IL</JudicialPersonID>
            <JudicialPersonTypeID>1</JudicialPersonTypeID>
            <JudicialTypeID>3</JudicialTypeID>
            <IsChairman>false</IsChairman>
            <TreatmentStartDate>2024-05-28T12:41:10.7+03:00</TreatmentStartDate>
            <TreatmentFinishDate>9999-12-31T23:59:59.997+02:00</TreatmentFinishDate>
            <IdentificationCardNumber>028600542</IdentificationCardNumber>
            <DisplayName>עפרה אטיאס</DisplayName>
            <JudicialTypeName>הרכב שופטים</JudicialTypeName>
            <CaseJudicialGroupNumber>581472</CaseJudicialGroupNumber>
            <FirstName>עפרה</FirstName>
            <LastName>אטיאס</LastName>
            <JudicialPersonTitle>שופט</JudicialPersonTitle>
          </CaseJudicalPersonActive>
          <CaseJudicalPersonActive>
            <CaseID>81263287</CaseID>
            <JudicialPersonID>027879451@GOV.IL</JudicialPersonID>
            <JudicialPersonTypeID>1</JudicialPersonTypeID>
            <JudicialTypeID>3</JudicialTypeID>
            <IsChairman>false</IsChairman>
            <TreatmentStartDate>2024-05-28T12:41:10.7+03:00</TreatmentStartDate>
            <TreatmentFinishDate>9999-12-31T23:59:59.997+02:00</TreatmentFinishDate>
            <IdentificationCardNumber>027879451</IdentificationCardNumber>
            <DisplayName>ניצן סילמן</DisplayName>
            <JudicialTypeName>הרכב שופטים</JudicialTypeName>
            <CaseJudicialGroupNumber>581472</CaseJudicialGroupNumber>
            <FirstName>ניצן</FirstName>
            <LastName>סילמן</LastName>
            <JudicialPersonTitle>שופט</JudicialPersonTitle>
          </CaseJudicalPersonActive>
        </CaseJudicialPersonPresentationDS>
        <CasePartyID>270727123</CasePartyID>
        <PartyTypeID>2</PartyTypeID>
        <ActivityStatusID>1</ActivityStatusID>
        <PartyAliasID>105</PartyAliasID>
        <PartyAliasName>בא כוח מסייעים</PartyAliasName>
        <LegalEntityID>403895</LegalEntityID>
        <CaseLegalEntityID>129051915</CaseLegalEntityID>
        <AuthenticationTypeID>4</AuthenticationTypeID>
        <AuthenticationTypeName>מ.ר.</AuthenticationTypeName>
        <LegalEntityNumber>28920</LegalEntityNumber>
        <IsMainPartyType>true</IsMainPartyType>
        <CaseDisplayIdentifier>67846-05-24</CaseDisplayIdentifier>
        <CaseTypeID>63</CaseTypeID>
        <CaseTypeName>ערעור משפחה (עמ"ש)</CaseTypeName>
        <CaseName>ג'לאם נ' אבו-אלקאהר</CaseName>
        <FullAddress>כפר קרע כפר קרע </FullAddress>
        <EmailAddress>ak.nasreen@gmail.com</EmailAddress>
        <MotionID>0</MotionID>
        <CasePleaID>0</CasePleaID>
        <FatherName xml:space="preserve">        </FatherName>
        <LinkedCaseID>0</LinkedCaseID>
        <PartyID>1</PartyID>
        <CasePartyCategoryID>2</CasePartyCategoryID>
        <LegalEntityAddressID>83833754</LegalEntityAddressID>
        <LegalEntityEmailAddressID>67978376</LegalEntityEmailAddressID>
        <PleaTypeID>6</PleaTypeID>
        <LawyerOfficeName>משרד עו"ד: נסרין אעלימי</LawyerOfficeName>
        <LawyerOfficeID>444539</LawyerOfficeID>
        <GroupPartyAlias/>
        <IsConverted>false</IsConverted>
        <LegalEntityNameID>24879</LegalEntityNameID>
        <RepresentatedNamesOfAssistant/>
        <LegalEntityTypeID>4</LegalEntityTypeID>
        <IsVerdictExists>false</IsVerdictExists>
        <IsAsirAzir>false</IsAsirAzir>
        <IsPublicationProhibited>false</IsPublicationProhibited>
        <PublicationProhibitedFullName>נסרין אעלימי</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רואנא אטרש</FullName>
        <FirstName>רואנא</FirstName>
        <LastName>אטרש</LastName>
        <PartyPropertyName/>
        <AuthenticationTypeAndNumber>מ.ר. 62987</AuthenticationTypeAndNumber>
        <RepresentatedOrRepresentativesNames>אחמד ג'לאם</RepresentatedOrRepresentativesNames>
        <RepresentatedOrRepresentativesCount>1</RepresentatedOrRepresentativesCount>
        <InvitedBy/>
        <CaseID>81263287</CaseID>
        <CaseJudicialPersonPresentationDS>
          <CaseJudicalPersonActive>
            <CaseID>81263287</CaseID>
            <JudicialPersonID>023469166@GOV.IL</JudicialPersonID>
            <JudicialPersonTypeID>1</JudicialPersonTypeID>
            <JudicialTypeID>3</JudicialTypeID>
            <IsChairman>true</IsChairman>
            <TreatmentStartDate>2024-05-28T12:41:10.7+03:00</TreatmentStartDate>
            <TreatmentFinishDate>9999-12-31T23:59:59.997+02:00</TreatmentFinishDate>
            <IdentificationCardNumber>023469166</IdentificationCardNumber>
            <DisplayName>סארי ג'יוסי</DisplayName>
            <JudicialTypeName>הרכב שופטים</JudicialTypeName>
            <CaseJudicialGroupNumber>581472</CaseJudicialGroupNumber>
            <FirstName>סארי</FirstName>
            <LastName>ג'יוסי</LastName>
            <JudicialPersonTitle>שופט</JudicialPersonTitle>
          </CaseJudicalPersonActive>
          <CaseJudicalPersonActive>
            <CaseID>81263287</CaseID>
            <JudicialPersonID>028600542@GOV.IL</JudicialPersonID>
            <JudicialPersonTypeID>1</JudicialPersonTypeID>
            <JudicialTypeID>3</JudicialTypeID>
            <IsChairman>false</IsChairman>
            <TreatmentStartDate>2024-05-28T12:41:10.7+03:00</TreatmentStartDate>
            <TreatmentFinishDate>9999-12-31T23:59:59.997+02:00</TreatmentFinishDate>
            <IdentificationCardNumber>028600542</IdentificationCardNumber>
            <DisplayName>עפרה אטיאס</DisplayName>
            <JudicialTypeName>הרכב שופטים</JudicialTypeName>
            <CaseJudicialGroupNumber>581472</CaseJudicialGroupNumber>
            <FirstName>עפרה</FirstName>
            <LastName>אטיאס</LastName>
            <JudicialPersonTitle>שופט</JudicialPersonTitle>
          </CaseJudicalPersonActive>
          <CaseJudicalPersonActive>
            <CaseID>81263287</CaseID>
            <JudicialPersonID>027879451@GOV.IL</JudicialPersonID>
            <JudicialPersonTypeID>1</JudicialPersonTypeID>
            <JudicialTypeID>3</JudicialTypeID>
            <IsChairman>false</IsChairman>
            <TreatmentStartDate>2024-05-28T12:41:10.7+03:00</TreatmentStartDate>
            <TreatmentFinishDate>9999-12-31T23:59:59.997+02:00</TreatmentFinishDate>
            <IdentificationCardNumber>027879451</IdentificationCardNumber>
            <DisplayName>ניצן סילמן</DisplayName>
            <JudicialTypeName>הרכב שופטים</JudicialTypeName>
            <CaseJudicialGroupNumber>581472</CaseJudicialGroupNumber>
            <FirstName>ניצן</FirstName>
            <LastName>סילמן</LastName>
            <JudicialPersonTitle>שופט</JudicialPersonTitle>
          </CaseJudicalPersonActive>
        </CaseJudicialPersonPresentationDS>
        <CasePartyID>270785135</CasePartyID>
        <PartyTypeID>2</PartyTypeID>
        <ActivityStatusID>1</ActivityStatusID>
        <PartyAliasID>24</PartyAliasID>
        <PartyAliasName>בא כוח מערערים</PartyAliasName>
        <LegalEntityID>72565370</LegalEntityID>
        <CaseLegalEntityID>129051984</CaseLegalEntityID>
        <AuthenticationTypeID>4</AuthenticationTypeID>
        <AuthenticationTypeName>מ.ר.</AuthenticationTypeName>
        <LegalEntityNumber>62987</LegalEntityNumber>
        <IsMainPartyType>true</IsMainPartyType>
        <CaseDisplayIdentifier>67846-05-24</CaseDisplayIdentifier>
        <CaseTypeID>63</CaseTypeID>
        <CaseTypeName>ערעור משפחה (עמ"ש)</CaseTypeName>
        <CaseName>ג'לאם נ' אבו-אלקאהר</CaseName>
        <FullAddress>כפר דבוריה אכסאל </FullAddress>
        <EmailAddress>rowana.law@gmail.com</EmailAddress>
        <MotionID>0</MotionID>
        <CasePleaID>0</CasePleaID>
        <LinkedCaseID>0</LinkedCaseID>
        <PartyID>1</PartyID>
        <CasePartyCategoryID>2</CasePartyCategoryID>
        <LegalEntityAddressID>84433954</LegalEntityAddressID>
        <LegalEntityEmailAddressID>68121037</LegalEntityEmailAddressID>
        <PleaTypeID>6</PleaTypeID>
        <GroupPartyAlias/>
        <IsConverted>false</IsConverted>
        <LegalEntityNameID>76594203</LegalEntityNameID>
        <RepresentatedNamesOfAssistant/>
        <LegalEntityTypeID>4</LegalEntityTypeID>
        <IsVerdictExists>false</IsVerdictExists>
        <IsAsirAzir>false</IsAsirAzir>
        <IsPublicationProhibited>false</IsPublicationProhibited>
        <PublicationProhibitedFullName>רואנא אטרש</PublicationProhibitedFullName>
      </CaseParties>
      <CaseParties>
        <PartyTypeName>מסייע</PartyTypeName>
        <ProceedingType>כתב טענות עיקרי</ProceedingType>
        <PleaName>הודעת ערעור</PleaName>
        <PartyBelonging> - </PartyBelonging>
        <RoleName>מתורגמן</RoleName>
        <IsSubProceeding>FALSE</IsSubProceeding>
        <FullName>תרגום - סוהיל</FullName>
        <LastName>תרגום - סוהיל</LastName>
        <PartyPropertyName/>
        <AuthenticationTypeAndNumber>משרדי ממשלה 570000557</AuthenticationTypeAndNumber>
        <RepresentatedOrRepresentativesNames/>
        <RepresentatedOrRepresentativesCount>0</RepresentatedOrRepresentativesCount>
        <InvitedBy/>
        <CaseID>81263287</CaseID>
        <CaseJudicialPersonPresentationDS>
          <CaseJudicalPersonActive>
            <CaseID>81263287</CaseID>
            <JudicialPersonID>023469166@GOV.IL</JudicialPersonID>
            <JudicialPersonTypeID>1</JudicialPersonTypeID>
            <JudicialTypeID>3</JudicialTypeID>
            <IsChairman>true</IsChairman>
            <TreatmentStartDate>2024-05-28T12:41:10.7+03:00</TreatmentStartDate>
            <TreatmentFinishDate>9999-12-31T23:59:59.997+02:00</TreatmentFinishDate>
            <IdentificationCardNumber>023469166</IdentificationCardNumber>
            <DisplayName>סארי ג'יוסי</DisplayName>
            <JudicialTypeName>הרכב שופטים</JudicialTypeName>
            <CaseJudicialGroupNumber>581472</CaseJudicialGroupNumber>
            <FirstName>סארי</FirstName>
            <LastName>ג'יוסי</LastName>
            <JudicialPersonTitle>שופט</JudicialPersonTitle>
          </CaseJudicalPersonActive>
          <CaseJudicalPersonActive>
            <CaseID>81263287</CaseID>
            <JudicialPersonID>028600542@GOV.IL</JudicialPersonID>
            <JudicialPersonTypeID>1</JudicialPersonTypeID>
            <JudicialTypeID>3</JudicialTypeID>
            <IsChairman>false</IsChairman>
            <TreatmentStartDate>2024-05-28T12:41:10.7+03:00</TreatmentStartDate>
            <TreatmentFinishDate>9999-12-31T23:59:59.997+02:00</TreatmentFinishDate>
            <IdentificationCardNumber>028600542</IdentificationCardNumber>
            <DisplayName>עפרה אטיאס</DisplayName>
            <JudicialTypeName>הרכב שופטים</JudicialTypeName>
            <CaseJudicialGroupNumber>581472</CaseJudicialGroupNumber>
            <FirstName>עפרה</FirstName>
            <LastName>אטיאס</LastName>
            <JudicialPersonTitle>שופט</JudicialPersonTitle>
          </CaseJudicalPersonActive>
          <CaseJudicalPersonActive>
            <CaseID>81263287</CaseID>
            <JudicialPersonID>027879451@GOV.IL</JudicialPersonID>
            <JudicialPersonTypeID>1</JudicialPersonTypeID>
            <JudicialTypeID>3</JudicialTypeID>
            <IsChairman>false</IsChairman>
            <TreatmentStartDate>2024-05-28T12:41:10.7+03:00</TreatmentStartDate>
            <TreatmentFinishDate>9999-12-31T23:59:59.997+02:00</TreatmentFinishDate>
            <IdentificationCardNumber>027879451</IdentificationCardNumber>
            <DisplayName>ניצן סילמן</DisplayName>
            <JudicialTypeName>הרכב שופטים</JudicialTypeName>
            <CaseJudicialGroupNumber>581472</CaseJudicialGroupNumber>
            <FirstName>ניצן</FirstName>
            <LastName>סילמן</LastName>
            <JudicialPersonTitle>שופט</JudicialPersonTitle>
          </CaseJudicalPersonActive>
        </CaseJudicialPersonPresentationDS>
        <CasePartyID>270940942</CasePartyID>
        <PartyTypeID>3</PartyTypeID>
        <ActivityStatusID>1</ActivityStatusID>
        <LegalEntityID>12768978</LegalEntityID>
        <CaseLegalEntityID>129114174</CaseLegalEntityID>
        <AssistantRoleID>1</AssistantRoleID>
        <AuthenticationTypeID>13</AuthenticationTypeID>
        <AuthenticationTypeName>משרדי ממשלה</AuthenticationTypeName>
        <LegalEntityNumber>570000557</LegalEntityNumber>
        <IsMainPartyType>true</IsMainPartyType>
        <CaseDisplayIdentifier>67846-05-24</CaseDisplayIdentifier>
        <CaseTypeID>63</CaseTypeID>
        <CaseTypeName>ערעור משפחה (עמ"ש)</CaseTypeName>
        <CaseName>ג'לאם נ' אבו-אלקאהר</CaseName>
        <FullAddress>היכל המשפט חיפה קומה 1-</FullAddress>
        <EmailAddress>qtsouheil@gmail.com</EmailAddress>
        <MotionID>0</MotionID>
        <CasePleaID>0</CasePleaID>
        <LinkedCaseID>0</LinkedCaseID>
        <PartyID>1</PartyID>
        <CasePartyCategoryID>2</CasePartyCategoryID>
        <LegalEntityAddressID>70659167</LegalEntityAddressID>
        <LegalEntityEmailAddressID>67923151</LegalEntityEmailAddressID>
        <PleaTypeID>6</PleaTypeID>
        <GroupPartyAlias/>
        <IsConverted>false</IsConverted>
        <LegalEntityRegisteredNameID>2331598</LegalEntityRegisteredNameID>
        <RepresentatedNamesOfAssistant/>
        <LegalEntityTypeID>3</LegalEntityTypeID>
        <IsVerdictExists>false</IsVerdictExists>
        <IsAsirAzir>false</IsAsirAzir>
        <IsPublicationProhibited>false</IsPublicationProhibited>
        <PublicationProhibitedFullName>תרגום - סוהיל</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אריאלה רוזנטל סודרי</FullName>
        <FirstName>אריאלה</FirstName>
        <LastName>רוזנטל סודרי</LastName>
        <PartyPropertyName/>
        <AuthenticationTypeAndNumber>מ.ר. 24995</AuthenticationTypeAndNumber>
        <RepresentatedOrRepresentativesNames>נור אבו-אלקאהר</RepresentatedOrRepresentativesNames>
        <RepresentatedOrRepresentativesCount>1</RepresentatedOrRepresentativesCount>
        <InvitedBy/>
        <CaseID>81263287</CaseID>
        <CaseJudicialPersonPresentationDS>
          <CaseJudicalPersonActive>
            <CaseID>81263287</CaseID>
            <JudicialPersonID>023469166@GOV.IL</JudicialPersonID>
            <JudicialPersonTypeID>1</JudicialPersonTypeID>
            <JudicialTypeID>3</JudicialTypeID>
            <IsChairman>true</IsChairman>
            <TreatmentStartDate>2024-05-28T12:41:10.7+03:00</TreatmentStartDate>
            <TreatmentFinishDate>9999-12-31T23:59:59.997+02:00</TreatmentFinishDate>
            <IdentificationCardNumber>023469166</IdentificationCardNumber>
            <DisplayName>סארי ג'יוסי</DisplayName>
            <JudicialTypeName>הרכב שופטים</JudicialTypeName>
            <CaseJudicialGroupNumber>581472</CaseJudicialGroupNumber>
            <FirstName>סארי</FirstName>
            <LastName>ג'יוסי</LastName>
            <JudicialPersonTitle>שופט</JudicialPersonTitle>
          </CaseJudicalPersonActive>
          <CaseJudicalPersonActive>
            <CaseID>81263287</CaseID>
            <JudicialPersonID>028600542@GOV.IL</JudicialPersonID>
            <JudicialPersonTypeID>1</JudicialPersonTypeID>
            <JudicialTypeID>3</JudicialTypeID>
            <IsChairman>false</IsChairman>
            <TreatmentStartDate>2024-05-28T12:41:10.7+03:00</TreatmentStartDate>
            <TreatmentFinishDate>9999-12-31T23:59:59.997+02:00</TreatmentFinishDate>
            <IdentificationCardNumber>028600542</IdentificationCardNumber>
            <DisplayName>עפרה אטיאס</DisplayName>
            <JudicialTypeName>הרכב שופטים</JudicialTypeName>
            <CaseJudicialGroupNumber>581472</CaseJudicialGroupNumber>
            <FirstName>עפרה</FirstName>
            <LastName>אטיאס</LastName>
            <JudicialPersonTitle>שופט</JudicialPersonTitle>
          </CaseJudicalPersonActive>
          <CaseJudicalPersonActive>
            <CaseID>81263287</CaseID>
            <JudicialPersonID>027879451@GOV.IL</JudicialPersonID>
            <JudicialPersonTypeID>1</JudicialPersonTypeID>
            <JudicialTypeID>3</JudicialTypeID>
            <IsChairman>false</IsChairman>
            <TreatmentStartDate>2024-05-28T12:41:10.7+03:00</TreatmentStartDate>
            <TreatmentFinishDate>9999-12-31T23:59:59.997+02:00</TreatmentFinishDate>
            <IdentificationCardNumber>027879451</IdentificationCardNumber>
            <DisplayName>ניצן סילמן</DisplayName>
            <JudicialTypeName>הרכב שופטים</JudicialTypeName>
            <CaseJudicialGroupNumber>581472</CaseJudicialGroupNumber>
            <FirstName>ניצן</FirstName>
            <LastName>סילמן</LastName>
            <JudicialPersonTitle>שופט</JudicialPersonTitle>
          </CaseJudicalPersonActive>
        </CaseJudicialPersonPresentationDS>
        <CasePartyID>270727819</CasePartyID>
        <PartyTypeID>2</PartyTypeID>
        <ActivityStatusID>1</ActivityStatusID>
        <PartyAliasID>23</PartyAliasID>
        <PartyAliasName>בא כוח משיבים</PartyAliasName>
        <LegalEntityID>388740</LegalEntityID>
        <CaseLegalEntityID>129052078</CaseLegalEntityID>
        <AuthenticationTypeID>4</AuthenticationTypeID>
        <AuthenticationTypeName>מ.ר.</AuthenticationTypeName>
        <LegalEntityNumber>24995</LegalEntityNumber>
        <IsMainPartyType>true</IsMainPartyType>
        <CaseDisplayIdentifier>67846-05-24</CaseDisplayIdentifier>
        <CaseTypeID>63</CaseTypeID>
        <CaseTypeName>ערעור משפחה (עמ"ש)</CaseTypeName>
        <CaseName>ג'לאם נ' אבו-אלקאהר</CaseName>
        <FullAddress>שד' מנחם בגין 35 טירת כרמל </FullAddress>
        <EmailAddress>arrosentnet@gmail.com</EmailAddress>
        <MotionID>0</MotionID>
        <CasePleaID>0</CasePleaID>
        <FatherName xml:space="preserve">        </FatherName>
        <LinkedCaseID>0</LinkedCaseID>
        <PartyID>2</PartyID>
        <CasePartyCategoryID>2</CasePartyCategoryID>
        <LegalEntityAddressID>88425071</LegalEntityAddressID>
        <LegalEntityEmailAddressID>68111204</LegalEntityEmailAddressID>
        <PleaTypeID>6</PleaTypeID>
        <LawyerOfficeName>משרד עו"ד: אריאלה רוזנטל סודרי</LawyerOfficeName>
        <LawyerOfficeID>429384</LawyerOfficeID>
        <GroupPartyAlias/>
        <IsConverted>false</IsConverted>
        <LegalEntityNameID>9724</LegalEntityNameID>
        <RepresentatedNamesOfAssistant/>
        <LegalEntityTypeID>4</LegalEntityTypeID>
        <IsVerdictExists>false</IsVerdictExists>
        <IsAsirAzir>false</IsAsirAzir>
        <IsPublicationProhibited>false</IsPublicationProhibited>
        <PublicationProhibitedFullName>אריאלה רוזנטל סודרי</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אמיר חסן נאטור</FullName>
        <FirstName>אמיר חסן</FirstName>
        <LastName>נאטור</LastName>
        <PartyPropertyName/>
        <AuthenticationTypeAndNumber>מ.ר. 49189</AuthenticationTypeAndNumber>
        <RepresentatedOrRepresentativesNames>אחמד ג'לאם</RepresentatedOrRepresentativesNames>
        <RepresentatedOrRepresentativesCount>1</RepresentatedOrRepresentativesCount>
        <InvitedBy/>
        <CaseID>81263287</CaseID>
        <CaseJudicialPersonPresentationDS>
          <CaseJudicalPersonActive>
            <CaseID>81263287</CaseID>
            <JudicialPersonID>023469166@GOV.IL</JudicialPersonID>
            <JudicialPersonTypeID>1</JudicialPersonTypeID>
            <JudicialTypeID>3</JudicialTypeID>
            <IsChairman>true</IsChairman>
            <TreatmentStartDate>2024-05-28T12:41:10.7+03:00</TreatmentStartDate>
            <TreatmentFinishDate>9999-12-31T23:59:59.997+02:00</TreatmentFinishDate>
            <IdentificationCardNumber>023469166</IdentificationCardNumber>
            <DisplayName>סארי ג'יוסי</DisplayName>
            <JudicialTypeName>הרכב שופטים</JudicialTypeName>
            <CaseJudicialGroupNumber>581472</CaseJudicialGroupNumber>
            <FirstName>סארי</FirstName>
            <LastName>ג'יוסי</LastName>
            <JudicialPersonTitle>שופט</JudicialPersonTitle>
          </CaseJudicalPersonActive>
          <CaseJudicalPersonActive>
            <CaseID>81263287</CaseID>
            <JudicialPersonID>028600542@GOV.IL</JudicialPersonID>
            <JudicialPersonTypeID>1</JudicialPersonTypeID>
            <JudicialTypeID>3</JudicialTypeID>
            <IsChairman>false</IsChairman>
            <TreatmentStartDate>2024-05-28T12:41:10.7+03:00</TreatmentStartDate>
            <TreatmentFinishDate>9999-12-31T23:59:59.997+02:00</TreatmentFinishDate>
            <IdentificationCardNumber>028600542</IdentificationCardNumber>
            <DisplayName>עפרה אטיאס</DisplayName>
            <JudicialTypeName>הרכב שופטים</JudicialTypeName>
            <CaseJudicialGroupNumber>581472</CaseJudicialGroupNumber>
            <FirstName>עפרה</FirstName>
            <LastName>אטיאס</LastName>
            <JudicialPersonTitle>שופט</JudicialPersonTitle>
          </CaseJudicalPersonActive>
          <CaseJudicalPersonActive>
            <CaseID>81263287</CaseID>
            <JudicialPersonID>027879451@GOV.IL</JudicialPersonID>
            <JudicialPersonTypeID>1</JudicialPersonTypeID>
            <JudicialTypeID>3</JudicialTypeID>
            <IsChairman>false</IsChairman>
            <TreatmentStartDate>2024-05-28T12:41:10.7+03:00</TreatmentStartDate>
            <TreatmentFinishDate>9999-12-31T23:59:59.997+02:00</TreatmentFinishDate>
            <IdentificationCardNumber>027879451</IdentificationCardNumber>
            <DisplayName>ניצן סילמן</DisplayName>
            <JudicialTypeName>הרכב שופטים</JudicialTypeName>
            <CaseJudicialGroupNumber>581472</CaseJudicialGroupNumber>
            <FirstName>ניצן</FirstName>
            <LastName>סילמן</LastName>
            <JudicialPersonTitle>שופט</JudicialPersonTitle>
          </CaseJudicalPersonActive>
        </CaseJudicialPersonPresentationDS>
        <CasePartyID>270700199</CasePartyID>
        <PartyTypeID>2</PartyTypeID>
        <ActivityStatusID>1</ActivityStatusID>
        <PartyAliasID>24</PartyAliasID>
        <PartyAliasName>בא כוח מערערים</PartyAliasName>
        <OrdinalNumber>1</OrdinalNumber>
        <LegalEntityID>7555405</LegalEntityID>
        <CaseLegalEntityID>129043384</CaseLegalEntityID>
        <AuthenticationTypeID>4</AuthenticationTypeID>
        <AuthenticationTypeName>מ.ר.</AuthenticationTypeName>
        <LegalEntityNumber>49189</LegalEntityNumber>
        <IsMainPartyType>true</IsMainPartyType>
        <CaseDisplayIdentifier>67846-05-24</CaseDisplayIdentifier>
        <CaseTypeID>63</CaseTypeID>
        <CaseTypeName>ערעור משפחה (עמ"ש)</CaseTypeName>
        <CaseName>ג'לאם נ' אבו-אלקאהר</CaseName>
        <FullAddress>בער באקה 1\1 באקה אל-גרביה </FullAddress>
        <MotionID>0</MotionID>
        <CasePleaID>0</CasePleaID>
        <LinkedCaseID>0</LinkedCaseID>
        <PartyID>1</PartyID>
        <CasePartyCategoryID>2</CasePartyCategoryID>
        <LegalEntityAddressID>76746231</LegalEntityAddressID>
        <PleaTypeID>6</PleaTypeID>
        <LawyerOfficeName>משרד עו"ד אמיר חסן נאטור</LawyerOfficeName>
        <LawyerOfficeID>7555406</LawyerOfficeID>
        <GroupPartyAlias/>
        <IsConverted>false</IsConverted>
        <LegalEntityNameID>7219114</LegalEntityNameID>
        <RepresentatedNamesOfAssistant/>
        <LegalEntityTypeID>4</LegalEntityTypeID>
        <IsVerdictExists>false</IsVerdictExists>
        <IsAsirAzir>false</IsAsirAzir>
        <IsPublicationProhibited>false</IsPublicationProhibited>
        <PublicationProhibitedFullName>אמיר חסן נאטור</PublicationProhibitedFullName>
      </CaseParties>
      <CaseParties>
        <PartyTypeName>צד</PartyTypeName>
        <ProceedingType>כתב טענות עיקרי</ProceedingType>
        <PleaName>הודעת ערעור</PleaName>
        <PartyBelonging>צד א'</PartyBelonging>
        <RoleName>מערער 1 - נתבע</RoleName>
        <IsSubProceeding>FALSE</IsSubProceeding>
        <FullName>אחמד ג'לאם</FullName>
        <FirstName>אחמד</FirstName>
        <LastName>ג'לאם</LastName>
        <PartyPropertyName/>
        <AuthenticationTypeAndNumber>ת"ז 308167220</AuthenticationTypeAndNumber>
        <RepresentatedOrRepresentativesNames>רואנא אטרש, אמיר חסן נאטור</RepresentatedOrRepresentativesNames>
        <RepresentatedOrRepresentativesCount>2</RepresentatedOrRepresentativesCount>
        <InvitedBy/>
        <CaseID>81263287</CaseID>
        <CaseJudicialPersonPresentationDS>
          <CaseJudicalPersonActive>
            <CaseID>81263287</CaseID>
            <JudicialPersonID>023469166@GOV.IL</JudicialPersonID>
            <JudicialPersonTypeID>1</JudicialPersonTypeID>
            <JudicialTypeID>3</JudicialTypeID>
            <IsChairman>true</IsChairman>
            <TreatmentStartDate>2024-05-28T12:41:10.7+03:00</TreatmentStartDate>
            <TreatmentFinishDate>9999-12-31T23:59:59.997+02:00</TreatmentFinishDate>
            <IdentificationCardNumber>023469166</IdentificationCardNumber>
            <DisplayName>סארי ג'יוסי</DisplayName>
            <JudicialTypeName>הרכב שופטים</JudicialTypeName>
            <CaseJudicialGroupNumber>581472</CaseJudicialGroupNumber>
            <FirstName>סארי</FirstName>
            <LastName>ג'יוסי</LastName>
            <JudicialPersonTitle>שופט</JudicialPersonTitle>
          </CaseJudicalPersonActive>
          <CaseJudicalPersonActive>
            <CaseID>81263287</CaseID>
            <JudicialPersonID>028600542@GOV.IL</JudicialPersonID>
            <JudicialPersonTypeID>1</JudicialPersonTypeID>
            <JudicialTypeID>3</JudicialTypeID>
            <IsChairman>false</IsChairman>
            <TreatmentStartDate>2024-05-28T12:41:10.7+03:00</TreatmentStartDate>
            <TreatmentFinishDate>9999-12-31T23:59:59.997+02:00</TreatmentFinishDate>
            <IdentificationCardNumber>028600542</IdentificationCardNumber>
            <DisplayName>עפרה אטיאס</DisplayName>
            <JudicialTypeName>הרכב שופטים</JudicialTypeName>
            <CaseJudicialGroupNumber>581472</CaseJudicialGroupNumber>
            <FirstName>עפרה</FirstName>
            <LastName>אטיאס</LastName>
            <JudicialPersonTitle>שופט</JudicialPersonTitle>
          </CaseJudicalPersonActive>
          <CaseJudicalPersonActive>
            <CaseID>81263287</CaseID>
            <JudicialPersonID>027879451@GOV.IL</JudicialPersonID>
            <JudicialPersonTypeID>1</JudicialPersonTypeID>
            <JudicialTypeID>3</JudicialTypeID>
            <IsChairman>false</IsChairman>
            <TreatmentStartDate>2024-05-28T12:41:10.7+03:00</TreatmentStartDate>
            <TreatmentFinishDate>9999-12-31T23:59:59.997+02:00</TreatmentFinishDate>
            <IdentificationCardNumber>027879451</IdentificationCardNumber>
            <DisplayName>ניצן סילמן</DisplayName>
            <JudicialTypeName>הרכב שופטים</JudicialTypeName>
            <CaseJudicialGroupNumber>581472</CaseJudicialGroupNumber>
            <FirstName>ניצן</FirstName>
            <LastName>סילמן</LastName>
            <JudicialPersonTitle>שופט</JudicialPersonTitle>
          </CaseJudicalPersonActive>
        </CaseJudicialPersonPresentationDS>
        <CasePartyID>270700197</CasePartyID>
        <PartyTypeID>1</PartyTypeID>
        <ActivityStatusID>1</ActivityStatusID>
        <PartyAliasID>5</PartyAliasID>
        <PartyAliasName>מערער</PartyAliasName>
        <OrdinalNumber>1</OrdinalNumber>
        <LegalEntityID>73205940</LegalEntityID>
        <CaseLegalEntityID>129043382</CaseLegalEntityID>
        <AuthenticationTypeID>1</AuthenticationTypeID>
        <AuthenticationTypeName>ת"ז</AuthenticationTypeName>
        <LegalEntityNumber>308167220</LegalEntityNumber>
        <IsMainPartyType>true</IsMainPartyType>
        <CaseDisplayIdentifier>67846-05-24</CaseDisplayIdentifier>
        <CaseTypeID>63</CaseTypeID>
        <CaseTypeName>ערעור משפחה (עמ"ש)</CaseTypeName>
        <CaseName>ג'לאם נ' אבו-אלקאהר</CaseName>
        <FullAddress>כפר יאסיף כפר יאסיף </FullAddress>
        <MotionID>0</MotionID>
        <CasePleaID>0</CasePleaID>
        <FatherName>נימר</FatherName>
        <LinkedCaseID>0</LinkedCaseID>
        <PartyID>1</PartyID>
        <CasePartyCategoryID>2</CasePartyCategoryID>
        <LegalEntityAddressID>88725432</LegalEntityAddressID>
        <PleaTypeID>6</PleaTypeID>
        <GroupPartyAlias>מערערים</GroupPartyAlias>
        <IsConverted>false</IsConverted>
        <LegalEntityRegisteredNameID>7027231</LegalEntityRegisteredNameID>
        <LegalEntityNameID>95862425</LegalEntityNameID>
        <RepresentatedNamesOfAssistant/>
        <LegalEntityTypeID>1</LegalEntityTypeID>
        <IsVerdictExists>false</IsVerdictExists>
        <IsAsirAzir>false</IsAsirAzir>
        <IsPublicationProhibited>false</IsPublicationProhibited>
        <PublicationProhibitedFullName>אחמד ג'לאם</PublicationProhibitedFullName>
      </CaseParties>
      <CaseParties>
        <PartyTypeName>צד</PartyTypeName>
        <ProceedingType>כתב טענות עיקרי</ProceedingType>
        <PleaName>הודעת ערעור</PleaName>
        <PartyBelonging>צד ב'</PartyBelonging>
        <RoleName>משיב 1 - תובע</RoleName>
        <IsSubProceeding>FALSE</IsSubProceeding>
        <FullName>נור אבו-אלקאהר</FullName>
        <FirstName>נור</FirstName>
        <LastName>אבו-אלקאהר</LastName>
        <PartyPropertyName/>
        <AuthenticationTypeAndNumber>דרכון C3J9MOM46</AuthenticationTypeAndNumber>
        <RepresentatedOrRepresentativesNames>אריאלה רוזנטל סודרי</RepresentatedOrRepresentativesNames>
        <RepresentatedOrRepresentativesCount>1</RepresentatedOrRepresentativesCount>
        <InvitedBy/>
        <CaseID>81263287</CaseID>
        <CaseJudicialPersonPresentationDS>
          <CaseJudicalPersonActive>
            <CaseID>81263287</CaseID>
            <JudicialPersonID>023469166@GOV.IL</JudicialPersonID>
            <JudicialPersonTypeID>1</JudicialPersonTypeID>
            <JudicialTypeID>3</JudicialTypeID>
            <IsChairman>true</IsChairman>
            <TreatmentStartDate>2024-05-28T12:41:10.7+03:00</TreatmentStartDate>
            <TreatmentFinishDate>9999-12-31T23:59:59.997+02:00</TreatmentFinishDate>
            <IdentificationCardNumber>023469166</IdentificationCardNumber>
            <DisplayName>סארי ג'יוסי</DisplayName>
            <JudicialTypeName>הרכב שופטים</JudicialTypeName>
            <CaseJudicialGroupNumber>581472</CaseJudicialGroupNumber>
            <FirstName>סארי</FirstName>
            <LastName>ג'יוסי</LastName>
            <JudicialPersonTitle>שופט</JudicialPersonTitle>
          </CaseJudicalPersonActive>
          <CaseJudicalPersonActive>
            <CaseID>81263287</CaseID>
            <JudicialPersonID>028600542@GOV.IL</JudicialPersonID>
            <JudicialPersonTypeID>1</JudicialPersonTypeID>
            <JudicialTypeID>3</JudicialTypeID>
            <IsChairman>false</IsChairman>
            <TreatmentStartDate>2024-05-28T12:41:10.7+03:00</TreatmentStartDate>
            <TreatmentFinishDate>9999-12-31T23:59:59.997+02:00</TreatmentFinishDate>
            <IdentificationCardNumber>028600542</IdentificationCardNumber>
            <DisplayName>עפרה אטיאס</DisplayName>
            <JudicialTypeName>הרכב שופטים</JudicialTypeName>
            <CaseJudicialGroupNumber>581472</CaseJudicialGroupNumber>
            <FirstName>עפרה</FirstName>
            <LastName>אטיאס</LastName>
            <JudicialPersonTitle>שופט</JudicialPersonTitle>
          </CaseJudicalPersonActive>
          <CaseJudicalPersonActive>
            <CaseID>81263287</CaseID>
            <JudicialPersonID>027879451@GOV.IL</JudicialPersonID>
            <JudicialPersonTypeID>1</JudicialPersonTypeID>
            <JudicialTypeID>3</JudicialTypeID>
            <IsChairman>false</IsChairman>
            <TreatmentStartDate>2024-05-28T12:41:10.7+03:00</TreatmentStartDate>
            <TreatmentFinishDate>9999-12-31T23:59:59.997+02:00</TreatmentFinishDate>
            <IdentificationCardNumber>027879451</IdentificationCardNumber>
            <DisplayName>ניצן סילמן</DisplayName>
            <JudicialTypeName>הרכב שופטים</JudicialTypeName>
            <CaseJudicialGroupNumber>581472</CaseJudicialGroupNumber>
            <FirstName>ניצן</FirstName>
            <LastName>סילמן</LastName>
            <JudicialPersonTitle>שופט</JudicialPersonTitle>
          </CaseJudicalPersonActive>
        </CaseJudicialPersonPresentationDS>
        <CasePartyID>270700198</CasePartyID>
        <PartyTypeID>1</PartyTypeID>
        <ActivityStatusID>1</ActivityStatusID>
        <PartyAliasID>4</PartyAliasID>
        <PartyAliasName>משיב</PartyAliasName>
        <OrdinalNumber>1</OrdinalNumber>
        <LegalEntityID>81614982</LegalEntityID>
        <CaseLegalEntityID>129043383</CaseLegalEntityID>
        <AuthenticationTypeID>2</AuthenticationTypeID>
        <AuthenticationTypeName>דרכון</AuthenticationTypeName>
        <LegalEntityNumber>C3J9MOM46</LegalEntityNumber>
        <IsMainPartyType>true</IsMainPartyType>
        <CaseDisplayIdentifier>67846-05-24</CaseDisplayIdentifier>
        <CaseTypeID>63</CaseTypeID>
        <CaseTypeName>ערעור משפחה (עמ"ש)</CaseTypeName>
        <CaseName>ג'לאם נ' אבו-אלקאהר</CaseName>
        <FullAddress>Onchenstr. 33, 12059 Berlin, Germany כפר יאסיף </FullAddress>
        <MotionID>0</MotionID>
        <CasePleaID>0</CasePleaID>
        <PassportCountryID>500</PassportCountryID>
        <LinkedCaseID>0</LinkedCaseID>
        <PartyID>2</PartyID>
        <CasePartyCategoryID>2</CasePartyCategoryID>
        <LegalEntityAddressID>88725431</LegalEntityAddressID>
        <PleaTypeID>6</PleaTypeID>
        <GroupPartyAlias>משיבים</GroupPartyAlias>
        <IsConverted>false</IsConverted>
        <LegalEntityNameID>95862424</LegalEntityNameID>
        <RepresentatedNamesOfAssistant/>
        <LegalEntityTypeID>2</LegalEntityTypeID>
        <IsVerdictExists>false</IsVerdictExists>
        <IsAsirAzir>false</IsAsirAzir>
        <IsPublicationProhibited>false</IsPublicationProhibited>
        <PublicationProhibitedFullName>נור אבו-אלקאהר</PublicationProhibitedFullName>
      </CaseParties>
    </CasePartiesSelectionDS>
    <DecisionName>פסק דין  שניתנה ע"י  סארי ג'יוסי</DecisionName>
    <CourtDisplayName>בית המשפט המחוזי בחיפה בשבתו כבית-משפט לערעורים אזרחיים</CourtDisplayName>
    <IsCaseJudgePanel>true</IsCaseJudgePanel>
    <DecisionSignatureDate>2024-07-01T11:04:19.4851606+03:00</DecisionSignatureDate>
    <OpenCaseDate>2024-05-28T09:32:00+03:00</OpenCaseDate>
    <CaseFeeSum>0.000</CaseFeeSum>
    <DecisionTypeID>2</DecisionTypeID>
    <DecisionSignatureUserName>סארי ג'יוסי</DecisionSignatureUserName>
    <DecisionSignatureDateHebrew>2024-07-01T11:04:19.4851606+03:00</DecisionSignatureDateHebrew>
    <DecisionWriterID>023469166@GOV.IL</DecisionWriterID>
    <CourtAddress>רח' פלי"ם 12 היכל המשפט, חיפה 33095</CourtAddress>
    <IsAutoTextInCaseExist>false</IsAutoTextInCaseExist>
    <DecisionSignatureRoleName>שופט</DecisionSignatureRoleName>
    <DecisionSignatureUserTitleName>שופט</DecisionSignatureUserTitleName>
    <CaseName>ג'לאם נ' אבו-אלקאהר</CaseName>
    <DecisionNumberInCase>14</DecisionNumberInCase>
  </dt_Decision>
  <dt_DecisionCase>
    <DecisionID>0</DecisionID>
    <CaseID>81263287</CaseID>
    <CaseJudicialPersonPresentationDS>
      <CaseJudicalPersonActive>
        <CaseID>81263287</CaseID>
        <JudicialPersonID>023469166@GOV.IL</JudicialPersonID>
        <JudicialPersonTypeID>1</JudicialPersonTypeID>
        <JudicialTypeID>3</JudicialTypeID>
        <IsChairman>true</IsChairman>
        <TreatmentStartDate>2024-05-28T12:41:10.7+03:00</TreatmentStartDate>
        <TreatmentFinishDate>9999-12-31T23:59:59.997+02:00</TreatmentFinishDate>
        <IdentificationCardNumber>023469166</IdentificationCardNumber>
        <DisplayName>סארי ג'יוסי</DisplayName>
        <JudicialTypeName>הרכב שופטים</JudicialTypeName>
        <CaseJudicialGroupNumber>581472</CaseJudicialGroupNumber>
        <FirstName>סארי</FirstName>
        <LastName>ג'יוסי</LastName>
        <JudicialPersonTitle>שופט</JudicialPersonTitle>
      </CaseJudicalPersonActive>
      <CaseJudicalPersonActive>
        <CaseID>81263287</CaseID>
        <JudicialPersonID>028600542@GOV.IL</JudicialPersonID>
        <JudicialPersonTypeID>1</JudicialPersonTypeID>
        <JudicialTypeID>3</JudicialTypeID>
        <IsChairman>false</IsChairman>
        <TreatmentStartDate>2024-05-28T12:41:10.7+03:00</TreatmentStartDate>
        <TreatmentFinishDate>9999-12-31T23:59:59.997+02:00</TreatmentFinishDate>
        <IdentificationCardNumber>028600542</IdentificationCardNumber>
        <DisplayName>עפרה אטיאס</DisplayName>
        <JudicialTypeName>הרכב שופטים</JudicialTypeName>
        <CaseJudicialGroupNumber>581472</CaseJudicialGroupNumber>
        <FirstName>עפרה</FirstName>
        <LastName>אטיאס</LastName>
        <JudicialPersonTitle>שופט</JudicialPersonTitle>
      </CaseJudicalPersonActive>
      <CaseJudicalPersonActive>
        <CaseID>81263287</CaseID>
        <JudicialPersonID>027879451@GOV.IL</JudicialPersonID>
        <JudicialPersonTypeID>1</JudicialPersonTypeID>
        <JudicialTypeID>3</JudicialTypeID>
        <IsChairman>false</IsChairman>
        <TreatmentStartDate>2024-05-28T12:41:10.7+03:00</TreatmentStartDate>
        <TreatmentFinishDate>9999-12-31T23:59:59.997+02:00</TreatmentFinishDate>
        <IdentificationCardNumber>027879451</IdentificationCardNumber>
        <DisplayName>ניצן סילמן</DisplayName>
        <JudicialTypeName>הרכב שופטים</JudicialTypeName>
        <CaseJudicialGroupNumber>581472</CaseJudicialGroupNumber>
        <FirstName>ניצן</FirstName>
        <LastName>סילמן</LastName>
        <JudicialPersonTitle>שופט</JudicialPersonTitle>
      </CaseJudicalPersonActive>
    </CaseJudicialPersonPresentationDS>
    <CasePartiesSelectionDS>
      <CaseParties>
        <PartyTypeName>מסייע</PartyTypeName>
        <ProceedingType>כתב טענות עיקרי</ProceedingType>
        <PleaName>הודעת ערעור</PleaName>
        <PartyBelonging> - </PartyBelonging>
        <RoleName>קטינים</RoleName>
        <IsSubProceeding>FALSE</IsSubProceeding>
        <FullName>ליה ג'לאם</FullName>
        <FirstName>ליה</FirstName>
        <LastName>ג'לאם</LastName>
        <PartyPropertyName/>
        <AuthenticationTypeAndNumber>ת"ז 339826885</AuthenticationTypeAndNumber>
        <RepresentatedOrRepresentativesNames>נסרין אעלימי</RepresentatedOrRepresentativesNames>
        <RepresentatedOrRepresentativesCount>1</RepresentatedOrRepresentativesCount>
        <InvitedBy/>
        <CaseID>81263287</CaseID>
        <CaseJudicialPersonPresentationDS>
          <CaseJudicalPersonActive>
            <CaseID>81263287</CaseID>
            <JudicialPersonID>023469166@GOV.IL</JudicialPersonID>
            <JudicialPersonTypeID>1</JudicialPersonTypeID>
            <JudicialTypeID>3</JudicialTypeID>
            <IsChairman>true</IsChairman>
            <TreatmentStartDate>2024-05-28T12:41:10.7+03:00</TreatmentStartDate>
            <TreatmentFinishDate>9999-12-31T23:59:59.997+02:00</TreatmentFinishDate>
            <IdentificationCardNumber>023469166</IdentificationCardNumber>
            <DisplayName>סארי ג'יוסי</DisplayName>
            <JudicialTypeName>הרכב שופטים</JudicialTypeName>
            <CaseJudicialGroupNumber>581472</CaseJudicialGroupNumber>
            <FirstName>סארי</FirstName>
            <LastName>ג'יוסי</LastName>
            <JudicialPersonTitle>שופט</JudicialPersonTitle>
          </CaseJudicalPersonActive>
          <CaseJudicalPersonActive>
            <CaseID>81263287</CaseID>
            <JudicialPersonID>028600542@GOV.IL</JudicialPersonID>
            <JudicialPersonTypeID>1</JudicialPersonTypeID>
            <JudicialTypeID>3</JudicialTypeID>
            <IsChairman>false</IsChairman>
            <TreatmentStartDate>2024-05-28T12:41:10.7+03:00</TreatmentStartDate>
            <TreatmentFinishDate>9999-12-31T23:59:59.997+02:00</TreatmentFinishDate>
            <IdentificationCardNumber>028600542</IdentificationCardNumber>
            <DisplayName>עפרה אטיאס</DisplayName>
            <JudicialTypeName>הרכב שופטים</JudicialTypeName>
            <CaseJudicialGroupNumber>581472</CaseJudicialGroupNumber>
            <FirstName>עפרה</FirstName>
            <LastName>אטיאס</LastName>
            <JudicialPersonTitle>שופט</JudicialPersonTitle>
          </CaseJudicalPersonActive>
          <CaseJudicalPersonActive>
            <CaseID>81263287</CaseID>
            <JudicialPersonID>027879451@GOV.IL</JudicialPersonID>
            <JudicialPersonTypeID>1</JudicialPersonTypeID>
            <JudicialTypeID>3</JudicialTypeID>
            <IsChairman>false</IsChairman>
            <TreatmentStartDate>2024-05-28T12:41:10.7+03:00</TreatmentStartDate>
            <TreatmentFinishDate>9999-12-31T23:59:59.997+02:00</TreatmentFinishDate>
            <IdentificationCardNumber>027879451</IdentificationCardNumber>
            <DisplayName>ניצן סילמן</DisplayName>
            <JudicialTypeName>הרכב שופטים</JudicialTypeName>
            <CaseJudicialGroupNumber>581472</CaseJudicialGroupNumber>
            <FirstName>ניצן</FirstName>
            <LastName>סילמן</LastName>
            <JudicialPersonTitle>שופט</JudicialPersonTitle>
          </CaseJudicalPersonActive>
        </CaseJudicialPersonPresentationDS>
        <CasePartyID>270727085</CasePartyID>
        <PartyTypeID>3</PartyTypeID>
        <ActivityStatusID>1</ActivityStatusID>
        <LegalEntityID>81615056</LegalEntityID>
        <CaseLegalEntityID>129051908</CaseLegalEntityID>
        <AssistantRoleID>104</AssistantRoleID>
        <AuthenticationTypeID>1</AuthenticationTypeID>
        <AuthenticationTypeName>ת"ז</AuthenticationTypeName>
        <LegalEntityNumber>339826885</LegalEntityNumber>
        <IsMainPartyType>true</IsMainPartyType>
        <CaseDisplayIdentifier>67846-05-24</CaseDisplayIdentifier>
        <CaseTypeID>63</CaseTypeID>
        <CaseTypeName>ערעור משפחה (עמ"ש)</CaseTypeName>
        <CaseName>ג'לאם נ' אבו-אלקאהר</CaseName>
        <FullAddress/>
        <MotionID>0</MotionID>
        <CasePleaID>0</CasePleaID>
        <BirthDate>2022-04-04T00:00:00+03:00</BirthDate>
        <FatherName>אחמד</FatherName>
        <LinkedCaseID>0</LinkedCaseID>
        <PartyID>1</PartyID>
        <CasePartyCategoryID>2</CasePartyCategoryID>
        <PleaTypeID>6</PleaTypeID>
        <GroupPartyAlias/>
        <IsConverted>false</IsConverted>
        <LegalEntityRegisteredNameID>10589833</LegalEntityRegisteredNameID>
        <LegalEntityNameID>96630637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ליה ג'לאם</PublicationProhibitedFullName>
      </CaseParties>
      <CaseParties>
        <PartyTypeName>בא כוח</PartyTypeName>
        <ProceedingType>כתב טענות עיקרי</ProceedingType>
        <PleaName>הודעת ערעור</PleaName>
        <PartyBelonging> - </PartyBelonging>
        <RoleName>בא כוח מסייעים</RoleName>
        <IsSubProceeding>FALSE</IsSubProceeding>
        <FullName>נסרין אעלימי</FullName>
        <FirstName>נסרין</FirstName>
        <LastName>אעלימי</LastName>
        <PartyPropertyName/>
        <AuthenticationTypeAndNumber>מ.ר. 28920</AuthenticationTypeAndNumber>
        <RepresentatedOrRepresentativesNames/>
        <RepresentatedOrRepresentativesCount>0</RepresentatedOrRepresentativesCount>
        <InvitedBy/>
        <CaseID>81263287</CaseID>
        <CaseJudicialPersonPresentationDS>
          <CaseJudicalPersonActive>
            <CaseID>81263287</CaseID>
            <JudicialPersonID>023469166@GOV.IL</JudicialPersonID>
            <JudicialPersonTypeID>1</JudicialPersonTypeID>
            <JudicialTypeID>3</JudicialTypeID>
            <IsChairman>true</IsChairman>
            <TreatmentStartDate>2024-05-28T12:41:10.7+03:00</TreatmentStartDate>
            <TreatmentFinishDate>9999-12-31T23:59:59.997+02:00</TreatmentFinishDate>
            <IdentificationCardNumber>023469166</IdentificationCardNumber>
            <DisplayName>סארי ג'יוסי</DisplayName>
            <JudicialTypeName>הרכב שופטים</JudicialTypeName>
            <CaseJudicialGroupNumber>581472</CaseJudicialGroupNumber>
            <FirstName>סארי</FirstName>
            <LastName>ג'יוסי</LastName>
            <JudicialPersonTitle>שופט</JudicialPersonTitle>
          </CaseJudicalPersonActive>
          <CaseJudicalPersonActive>
            <CaseID>81263287</CaseID>
            <JudicialPersonID>028600542@GOV.IL</JudicialPersonID>
            <JudicialPersonTypeID>1</JudicialPersonTypeID>
            <JudicialTypeID>3</JudicialTypeID>
            <IsChairman>false</IsChairman>
            <TreatmentStartDate>2024-05-28T12:41:10.7+03:00</TreatmentStartDate>
            <TreatmentFinishDate>9999-12-31T23:59:59.997+02:00</TreatmentFinishDate>
            <IdentificationCardNumber>028600542</IdentificationCardNumber>
            <DisplayName>עפרה אטיאס</DisplayName>
            <JudicialTypeName>הרכב שופטים</JudicialTypeName>
            <CaseJudicialGroupNumber>581472</CaseJudicialGroupNumber>
            <FirstName>עפרה</FirstName>
            <LastName>אטיאס</LastName>
            <JudicialPersonTitle>שופט</JudicialPersonTitle>
          </CaseJudicalPersonActive>
          <CaseJudicalPersonActive>
            <CaseID>81263287</CaseID>
            <JudicialPersonID>027879451@GOV.IL</JudicialPersonID>
            <JudicialPersonTypeID>1</JudicialPersonTypeID>
            <JudicialTypeID>3</JudicialTypeID>
            <IsChairman>false</IsChairman>
            <TreatmentStartDate>2024-05-28T12:41:10.7+03:00</TreatmentStartDate>
            <TreatmentFinishDate>9999-12-31T23:59:59.997+02:00</TreatmentFinishDate>
            <IdentificationCardNumber>027879451</IdentificationCardNumber>
            <DisplayName>ניצן סילמן</DisplayName>
            <JudicialTypeName>הרכב שופטים</JudicialTypeName>
            <CaseJudicialGroupNumber>581472</CaseJudicialGroupNumber>
            <FirstName>ניצן</FirstName>
            <LastName>סילמן</LastName>
            <JudicialPersonTitle>שופט</JudicialPersonTitle>
          </CaseJudicalPersonActive>
        </CaseJudicialPersonPresentationDS>
        <CasePartyID>270727123</CasePartyID>
        <PartyTypeID>2</PartyTypeID>
        <ActivityStatusID>1</ActivityStatusID>
        <PartyAliasID>105</PartyAliasID>
        <PartyAliasName>בא כוח מסייעים</PartyAliasName>
        <LegalEntityID>403895</LegalEntityID>
        <CaseLegalEntityID>129051915</CaseLegalEntityID>
        <AuthenticationTypeID>4</AuthenticationTypeID>
        <AuthenticationTypeName>מ.ר.</AuthenticationTypeName>
        <LegalEntityNumber>28920</LegalEntityNumber>
        <IsMainPartyType>true</IsMainPartyType>
        <CaseDisplayIdentifier>67846-05-24</CaseDisplayIdentifier>
        <CaseTypeID>63</CaseTypeID>
        <CaseTypeName>ערעור משפחה (עמ"ש)</CaseTypeName>
        <CaseName>ג'לאם נ' אבו-אלקאהר</CaseName>
        <FullAddress>כפר קרע כפר קרע </FullAddress>
        <EmailAddress>ak.nasreen@gmail.com</EmailAddress>
        <MotionID>0</MotionID>
        <CasePleaID>0</CasePleaID>
        <FatherName xml:space="preserve">        </FatherName>
        <LinkedCaseID>0</LinkedCaseID>
        <PartyID>1</PartyID>
        <CasePartyCategoryID>2</CasePartyCategoryID>
        <LegalEntityAddressID>83833754</LegalEntityAddressID>
        <LegalEntityEmailAddressID>67978376</LegalEntityEmailAddressID>
        <PleaTypeID>6</PleaTypeID>
        <LawyerOfficeName>משרד עו"ד: נסרין אעלימי</LawyerOfficeName>
        <LawyerOfficeID>444539</LawyerOfficeID>
        <GroupPartyAlias/>
        <IsConverted>false</IsConverted>
        <LegalEntityNameID>24879</LegalEntityNameID>
        <RepresentatedNamesOfAssistant/>
        <LegalEntityTypeID>4</LegalEntityTypeID>
        <IsVerdictExists>false</IsVerdictExists>
        <IsAsirAzir>false</IsAsirAzir>
        <IsPublicationProhibited>false</IsPublicationProhibited>
        <PublicationProhibitedFullName>נסרין אעלימי</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רואנא אטרש</FullName>
        <FirstName>רואנא</FirstName>
        <LastName>אטרש</LastName>
        <PartyPropertyName/>
        <AuthenticationTypeAndNumber>מ.ר. 62987</AuthenticationTypeAndNumber>
        <RepresentatedOrRepresentativesNames>אחמד ג'לאם</RepresentatedOrRepresentativesNames>
        <RepresentatedOrRepresentativesCount>1</RepresentatedOrRepresentativesCount>
        <InvitedBy/>
        <CaseID>81263287</CaseID>
        <CaseJudicialPersonPresentationDS>
          <CaseJudicalPersonActive>
            <CaseID>81263287</CaseID>
            <JudicialPersonID>023469166@GOV.IL</JudicialPersonID>
            <JudicialPersonTypeID>1</JudicialPersonTypeID>
            <JudicialTypeID>3</JudicialTypeID>
            <IsChairman>true</IsChairman>
            <TreatmentStartDate>2024-05-28T12:41:10.7+03:00</TreatmentStartDate>
            <TreatmentFinishDate>9999-12-31T23:59:59.997+02:00</TreatmentFinishDate>
            <IdentificationCardNumber>023469166</IdentificationCardNumber>
            <DisplayName>סארי ג'יוסי</DisplayName>
            <JudicialTypeName>הרכב שופטים</JudicialTypeName>
            <CaseJudicialGroupNumber>581472</CaseJudicialGroupNumber>
            <FirstName>סארי</FirstName>
            <LastName>ג'יוסי</LastName>
            <JudicialPersonTitle>שופט</JudicialPersonTitle>
          </CaseJudicalPersonActive>
          <CaseJudicalPersonActive>
            <CaseID>81263287</CaseID>
            <JudicialPersonID>028600542@GOV.IL</JudicialPersonID>
            <JudicialPersonTypeID>1</JudicialPersonTypeID>
            <JudicialTypeID>3</JudicialTypeID>
            <IsChairman>false</IsChairman>
            <TreatmentStartDate>2024-05-28T12:41:10.7+03:00</TreatmentStartDate>
            <TreatmentFinishDate>9999-12-31T23:59:59.997+02:00</TreatmentFinishDate>
            <IdentificationCardNumber>028600542</IdentificationCardNumber>
            <DisplayName>עפרה אטיאס</DisplayName>
            <JudicialTypeName>הרכב שופטים</JudicialTypeName>
            <CaseJudicialGroupNumber>581472</CaseJudicialGroupNumber>
            <FirstName>עפרה</FirstName>
            <LastName>אטיאס</LastName>
            <JudicialPersonTitle>שופט</JudicialPersonTitle>
          </CaseJudicalPersonActive>
          <CaseJudicalPersonActive>
            <CaseID>81263287</CaseID>
            <JudicialPersonID>027879451@GOV.IL</JudicialPersonID>
            <JudicialPersonTypeID>1</JudicialPersonTypeID>
            <JudicialTypeID>3</JudicialTypeID>
            <IsChairman>false</IsChairman>
            <TreatmentStartDate>2024-05-28T12:41:10.7+03:00</TreatmentStartDate>
            <TreatmentFinishDate>9999-12-31T23:59:59.997+02:00</TreatmentFinishDate>
            <IdentificationCardNumber>027879451</IdentificationCardNumber>
            <DisplayName>ניצן סילמן</DisplayName>
            <JudicialTypeName>הרכב שופטים</JudicialTypeName>
            <CaseJudicialGroupNumber>581472</CaseJudicialGroupNumber>
            <FirstName>ניצן</FirstName>
            <LastName>סילמן</LastName>
            <JudicialPersonTitle>שופט</JudicialPersonTitle>
          </CaseJudicalPersonActive>
        </CaseJudicialPersonPresentationDS>
        <CasePartyID>270785135</CasePartyID>
        <PartyTypeID>2</PartyTypeID>
        <ActivityStatusID>1</ActivityStatusID>
        <PartyAliasID>24</PartyAliasID>
        <PartyAliasName>בא כוח מערערים</PartyAliasName>
        <LegalEntityID>72565370</LegalEntityID>
        <CaseLegalEntityID>129051984</CaseLegalEntityID>
        <AuthenticationTypeID>4</AuthenticationTypeID>
        <AuthenticationTypeName>מ.ר.</AuthenticationTypeName>
        <LegalEntityNumber>62987</LegalEntityNumber>
        <IsMainPartyType>true</IsMainPartyType>
        <CaseDisplayIdentifier>67846-05-24</CaseDisplayIdentifier>
        <CaseTypeID>63</CaseTypeID>
        <CaseTypeName>ערעור משפחה (עמ"ש)</CaseTypeName>
        <CaseName>ג'לאם נ' אבו-אלקאהר</CaseName>
        <FullAddress>כפר דבוריה אכסאל </FullAddress>
        <EmailAddress>rowana.law@gmail.com</EmailAddress>
        <MotionID>0</MotionID>
        <CasePleaID>0</CasePleaID>
        <LinkedCaseID>0</LinkedCaseID>
        <PartyID>1</PartyID>
        <CasePartyCategoryID>2</CasePartyCategoryID>
        <LegalEntityAddressID>84433954</LegalEntityAddressID>
        <LegalEntityEmailAddressID>68121037</LegalEntityEmailAddressID>
        <PleaTypeID>6</PleaTypeID>
        <GroupPartyAlias/>
        <IsConverted>false</IsConverted>
        <LegalEntityNameID>76594203</LegalEntityNameID>
        <RepresentatedNamesOfAssistant/>
        <LegalEntityTypeID>4</LegalEntityTypeID>
        <IsVerdictExists>false</IsVerdictExists>
        <IsAsirAzir>false</IsAsirAzir>
        <IsPublicationProhibited>false</IsPublicationProhibited>
        <PublicationProhibitedFullName>רואנא אטרש</PublicationProhibitedFullName>
      </CaseParties>
      <CaseParties>
        <PartyTypeName>מסייע</PartyTypeName>
        <ProceedingType>כתב טענות עיקרי</ProceedingType>
        <PleaName>הודעת ערעור</PleaName>
        <PartyBelonging> - </PartyBelonging>
        <RoleName>מתורגמן</RoleName>
        <IsSubProceeding>FALSE</IsSubProceeding>
        <FullName>תרגום - סוהיל</FullName>
        <LastName>תרגום - סוהיל</LastName>
        <PartyPropertyName/>
        <AuthenticationTypeAndNumber>משרדי ממשלה 570000557</AuthenticationTypeAndNumber>
        <RepresentatedOrRepresentativesNames/>
        <RepresentatedOrRepresentativesCount>0</RepresentatedOrRepresentativesCount>
        <InvitedBy/>
        <CaseID>81263287</CaseID>
        <CaseJudicialPersonPresentationDS>
          <CaseJudicalPersonActive>
            <CaseID>81263287</CaseID>
            <JudicialPersonID>023469166@GOV.IL</JudicialPersonID>
            <JudicialPersonTypeID>1</JudicialPersonTypeID>
            <JudicialTypeID>3</JudicialTypeID>
            <IsChairman>true</IsChairman>
            <TreatmentStartDate>2024-05-28T12:41:10.7+03:00</TreatmentStartDate>
            <TreatmentFinishDate>9999-12-31T23:59:59.997+02:00</TreatmentFinishDate>
            <IdentificationCardNumber>023469166</IdentificationCardNumber>
            <DisplayName>סארי ג'יוסי</DisplayName>
            <JudicialTypeName>הרכב שופטים</JudicialTypeName>
            <CaseJudicialGroupNumber>581472</CaseJudicialGroupNumber>
            <FirstName>סארי</FirstName>
            <LastName>ג'יוסי</LastName>
            <JudicialPersonTitle>שופט</JudicialPersonTitle>
          </CaseJudicalPersonActive>
          <CaseJudicalPersonActive>
            <CaseID>81263287</CaseID>
            <JudicialPersonID>028600542@GOV.IL</JudicialPersonID>
            <JudicialPersonTypeID>1</JudicialPersonTypeID>
            <JudicialTypeID>3</JudicialTypeID>
            <IsChairman>false</IsChairman>
            <TreatmentStartDate>2024-05-28T12:41:10.7+03:00</TreatmentStartDate>
            <TreatmentFinishDate>9999-12-31T23:59:59.997+02:00</TreatmentFinishDate>
            <IdentificationCardNumber>028600542</IdentificationCardNumber>
            <DisplayName>עפרה אטיאס</DisplayName>
            <JudicialTypeName>הרכב שופטים</JudicialTypeName>
            <CaseJudicialGroupNumber>581472</CaseJudicialGroupNumber>
            <FirstName>עפרה</FirstName>
            <LastName>אטיאס</LastName>
            <JudicialPersonTitle>שופט</JudicialPersonTitle>
          </CaseJudicalPersonActive>
          <CaseJudicalPersonActive>
            <CaseID>81263287</CaseID>
            <JudicialPersonID>027879451@GOV.IL</JudicialPersonID>
            <JudicialPersonTypeID>1</JudicialPersonTypeID>
            <JudicialTypeID>3</JudicialTypeID>
            <IsChairman>false</IsChairman>
            <TreatmentStartDate>2024-05-28T12:41:10.7+03:00</TreatmentStartDate>
            <TreatmentFinishDate>9999-12-31T23:59:59.997+02:00</TreatmentFinishDate>
            <IdentificationCardNumber>027879451</IdentificationCardNumber>
            <DisplayName>ניצן סילמן</DisplayName>
            <JudicialTypeName>הרכב שופטים</JudicialTypeName>
            <CaseJudicialGroupNumber>581472</CaseJudicialGroupNumber>
            <FirstName>ניצן</FirstName>
            <LastName>סילמן</LastName>
            <JudicialPersonTitle>שופט</JudicialPersonTitle>
          </CaseJudicalPersonActive>
        </CaseJudicialPersonPresentationDS>
        <CasePartyID>270940942</CasePartyID>
        <PartyTypeID>3</PartyTypeID>
        <ActivityStatusID>1</ActivityStatusID>
        <LegalEntityID>12768978</LegalEntityID>
        <CaseLegalEntityID>129114174</CaseLegalEntityID>
        <AssistantRoleID>1</AssistantRoleID>
        <AuthenticationTypeID>13</AuthenticationTypeID>
        <AuthenticationTypeName>משרדי ממשלה</AuthenticationTypeName>
        <LegalEntityNumber>570000557</LegalEntityNumber>
        <IsMainPartyType>true</IsMainPartyType>
        <CaseDisplayIdentifier>67846-05-24</CaseDisplayIdentifier>
        <CaseTypeID>63</CaseTypeID>
        <CaseTypeName>ערעור משפחה (עמ"ש)</CaseTypeName>
        <CaseName>ג'לאם נ' אבו-אלקאהר</CaseName>
        <FullAddress>היכל המשפט חיפה קומה 1-</FullAddress>
        <EmailAddress>qtsouheil@gmail.com</EmailAddress>
        <MotionID>0</MotionID>
        <CasePleaID>0</CasePleaID>
        <LinkedCaseID>0</LinkedCaseID>
        <PartyID>1</PartyID>
        <CasePartyCategoryID>2</CasePartyCategoryID>
        <LegalEntityAddressID>70659167</LegalEntityAddressID>
        <LegalEntityEmailAddressID>67923151</LegalEntityEmailAddressID>
        <PleaTypeID>6</PleaTypeID>
        <GroupPartyAlias/>
        <IsConverted>false</IsConverted>
        <LegalEntityRegisteredNameID>2331598</LegalEntityRegisteredNameID>
        <RepresentatedNamesOfAssistant/>
        <LegalEntityTypeID>3</LegalEntityTypeID>
        <IsVerdictExists>false</IsVerdictExists>
        <IsAsirAzir>false</IsAsirAzir>
        <IsPublicationProhibited>false</IsPublicationProhibited>
        <PublicationProhibitedFullName>תרגום - סוהיל</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אריאלה רוזנטל סודרי</FullName>
        <FirstName>אריאלה</FirstName>
        <LastName>רוזנטל סודרי</LastName>
        <PartyPropertyName/>
        <AuthenticationTypeAndNumber>מ.ר. 24995</AuthenticationTypeAndNumber>
        <RepresentatedOrRepresentativesNames>נור אבו-אלקאהר</RepresentatedOrRepresentativesNames>
        <RepresentatedOrRepresentativesCount>1</RepresentatedOrRepresentativesCount>
        <InvitedBy/>
        <CaseID>81263287</CaseID>
        <CaseJudicialPersonPresentationDS>
          <CaseJudicalPersonActive>
            <CaseID>81263287</CaseID>
            <JudicialPersonID>023469166@GOV.IL</JudicialPersonID>
            <JudicialPersonTypeID>1</JudicialPersonTypeID>
            <JudicialTypeID>3</JudicialTypeID>
            <IsChairman>true</IsChairman>
            <TreatmentStartDate>2024-05-28T12:41:10.7+03:00</TreatmentStartDate>
            <TreatmentFinishDate>9999-12-31T23:59:59.997+02:00</TreatmentFinishDate>
            <IdentificationCardNumber>023469166</IdentificationCardNumber>
            <DisplayName>סארי ג'יוסי</DisplayName>
            <JudicialTypeName>הרכב שופטים</JudicialTypeName>
            <CaseJudicialGroupNumber>581472</CaseJudicialGroupNumber>
            <FirstName>סארי</FirstName>
            <LastName>ג'יוסי</LastName>
            <JudicialPersonTitle>שופט</JudicialPersonTitle>
          </CaseJudicalPersonActive>
          <CaseJudicalPersonActive>
            <CaseID>81263287</CaseID>
            <JudicialPersonID>028600542@GOV.IL</JudicialPersonID>
            <JudicialPersonTypeID>1</JudicialPersonTypeID>
            <JudicialTypeID>3</JudicialTypeID>
            <IsChairman>false</IsChairman>
            <TreatmentStartDate>2024-05-28T12:41:10.7+03:00</TreatmentStartDate>
            <TreatmentFinishDate>9999-12-31T23:59:59.997+02:00</TreatmentFinishDate>
            <IdentificationCardNumber>028600542</IdentificationCardNumber>
            <DisplayName>עפרה אטיאס</DisplayName>
            <JudicialTypeName>הרכב שופטים</JudicialTypeName>
            <CaseJudicialGroupNumber>581472</CaseJudicialGroupNumber>
            <FirstName>עפרה</FirstName>
            <LastName>אטיאס</LastName>
            <JudicialPersonTitle>שופט</JudicialPersonTitle>
          </CaseJudicalPersonActive>
          <CaseJudicalPersonActive>
            <CaseID>81263287</CaseID>
            <JudicialPersonID>027879451@GOV.IL</JudicialPersonID>
            <JudicialPersonTypeID>1</JudicialPersonTypeID>
            <JudicialTypeID>3</JudicialTypeID>
            <IsChairman>false</IsChairman>
            <TreatmentStartDate>2024-05-28T12:41:10.7+03:00</TreatmentStartDate>
            <TreatmentFinishDate>9999-12-31T23:59:59.997+02:00</TreatmentFinishDate>
            <IdentificationCardNumber>027879451</IdentificationCardNumber>
            <DisplayName>ניצן סילמן</DisplayName>
            <JudicialTypeName>הרכב שופטים</JudicialTypeName>
            <CaseJudicialGroupNumber>581472</CaseJudicialGroupNumber>
            <FirstName>ניצן</FirstName>
            <LastName>סילמן</LastName>
            <JudicialPersonTitle>שופט</JudicialPersonTitle>
          </CaseJudicalPersonActive>
        </CaseJudicialPersonPresentationDS>
        <CasePartyID>270727819</CasePartyID>
        <PartyTypeID>2</PartyTypeID>
        <ActivityStatusID>1</ActivityStatusID>
        <PartyAliasID>23</PartyAliasID>
        <PartyAliasName>בא כוח משיבים</PartyAliasName>
        <LegalEntityID>388740</LegalEntityID>
        <CaseLegalEntityID>129052078</CaseLegalEntityID>
        <AuthenticationTypeID>4</AuthenticationTypeID>
        <AuthenticationTypeName>מ.ר.</AuthenticationTypeName>
        <LegalEntityNumber>24995</LegalEntityNumber>
        <IsMainPartyType>true</IsMainPartyType>
        <CaseDisplayIdentifier>67846-05-24</CaseDisplayIdentifier>
        <CaseTypeID>63</CaseTypeID>
        <CaseTypeName>ערעור משפחה (עמ"ש)</CaseTypeName>
        <CaseName>ג'לאם נ' אבו-אלקאהר</CaseName>
        <FullAddress>שד' מנחם בגין 35 טירת כרמל </FullAddress>
        <EmailAddress>arrosentnet@gmail.com</EmailAddress>
        <MotionID>0</MotionID>
        <CasePleaID>0</CasePleaID>
        <FatherName xml:space="preserve">        </FatherName>
        <LinkedCaseID>0</LinkedCaseID>
        <PartyID>2</PartyID>
        <CasePartyCategoryID>2</CasePartyCategoryID>
        <LegalEntityAddressID>88425071</LegalEntityAddressID>
        <LegalEntityEmailAddressID>68111204</LegalEntityEmailAddressID>
        <PleaTypeID>6</PleaTypeID>
        <LawyerOfficeName>משרד עו"ד: אריאלה רוזנטל סודרי</LawyerOfficeName>
        <LawyerOfficeID>429384</LawyerOfficeID>
        <GroupPartyAlias/>
        <IsConverted>false</IsConverted>
        <LegalEntityNameID>9724</LegalEntityNameID>
        <RepresentatedNamesOfAssistant/>
        <LegalEntityTypeID>4</LegalEntityTypeID>
        <IsVerdictExists>false</IsVerdictExists>
        <IsAsirAzir>false</IsAsirAzir>
        <IsPublicationProhibited>false</IsPublicationProhibited>
        <PublicationProhibitedFullName>אריאלה רוזנטל סודרי</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אמיר חסן נאטור</FullName>
        <FirstName>אמיר חסן</FirstName>
        <LastName>נאטור</LastName>
        <PartyPropertyName/>
        <AuthenticationTypeAndNumber>מ.ר. 49189</AuthenticationTypeAndNumber>
        <RepresentatedOrRepresentativesNames>אחמד ג'לאם</RepresentatedOrRepresentativesNames>
        <RepresentatedOrRepresentativesCount>1</RepresentatedOrRepresentativesCount>
        <InvitedBy/>
        <CaseID>81263287</CaseID>
        <CaseJudicialPersonPresentationDS>
          <CaseJudicalPersonActive>
            <CaseID>81263287</CaseID>
            <JudicialPersonID>023469166@GOV.IL</JudicialPersonID>
            <JudicialPersonTypeID>1</JudicialPersonTypeID>
            <JudicialTypeID>3</JudicialTypeID>
            <IsChairman>true</IsChairman>
            <TreatmentStartDate>2024-05-28T12:41:10.7+03:00</TreatmentStartDate>
            <TreatmentFinishDate>9999-12-31T23:59:59.997+02:00</TreatmentFinishDate>
            <IdentificationCardNumber>023469166</IdentificationCardNumber>
            <DisplayName>סארי ג'יוסי</DisplayName>
            <JudicialTypeName>הרכב שופטים</JudicialTypeName>
            <CaseJudicialGroupNumber>581472</CaseJudicialGroupNumber>
            <FirstName>סארי</FirstName>
            <LastName>ג'יוסי</LastName>
            <JudicialPersonTitle>שופט</JudicialPersonTitle>
          </CaseJudicalPersonActive>
          <CaseJudicalPersonActive>
            <CaseID>81263287</CaseID>
            <JudicialPersonID>028600542@GOV.IL</JudicialPersonID>
            <JudicialPersonTypeID>1</JudicialPersonTypeID>
            <JudicialTypeID>3</JudicialTypeID>
            <IsChairman>false</IsChairman>
            <TreatmentStartDate>2024-05-28T12:41:10.7+03:00</TreatmentStartDate>
            <TreatmentFinishDate>9999-12-31T23:59:59.997+02:00</TreatmentFinishDate>
            <IdentificationCardNumber>028600542</IdentificationCardNumber>
            <DisplayName>עפרה אטיאס</DisplayName>
            <JudicialTypeName>הרכב שופטים</JudicialTypeName>
            <CaseJudicialGroupNumber>581472</CaseJudicialGroupNumber>
            <FirstName>עפרה</FirstName>
            <LastName>אטיאס</LastName>
            <JudicialPersonTitle>שופט</JudicialPersonTitle>
          </CaseJudicalPersonActive>
          <CaseJudicalPersonActive>
            <CaseID>81263287</CaseID>
            <JudicialPersonID>027879451@GOV.IL</JudicialPersonID>
            <JudicialPersonTypeID>1</JudicialPersonTypeID>
            <JudicialTypeID>3</JudicialTypeID>
            <IsChairman>false</IsChairman>
            <TreatmentStartDate>2024-05-28T12:41:10.7+03:00</TreatmentStartDate>
            <TreatmentFinishDate>9999-12-31T23:59:59.997+02:00</TreatmentFinishDate>
            <IdentificationCardNumber>027879451</IdentificationCardNumber>
            <DisplayName>ניצן סילמן</DisplayName>
            <JudicialTypeName>הרכב שופטים</JudicialTypeName>
            <CaseJudicialGroupNumber>581472</CaseJudicialGroupNumber>
            <FirstName>ניצן</FirstName>
            <LastName>סילמן</LastName>
            <JudicialPersonTitle>שופט</JudicialPersonTitle>
          </CaseJudicalPersonActive>
        </CaseJudicialPersonPresentationDS>
        <CasePartyID>270700199</CasePartyID>
        <PartyTypeID>2</PartyTypeID>
        <ActivityStatusID>1</ActivityStatusID>
        <PartyAliasID>24</PartyAliasID>
        <PartyAliasName>בא כוח מערערים</PartyAliasName>
        <OrdinalNumber>1</OrdinalNumber>
        <LegalEntityID>7555405</LegalEntityID>
        <CaseLegalEntityID>129043384</CaseLegalEntityID>
        <AuthenticationTypeID>4</AuthenticationTypeID>
        <AuthenticationTypeName>מ.ר.</AuthenticationTypeName>
        <LegalEntityNumber>49189</LegalEntityNumber>
        <IsMainPartyType>true</IsMainPartyType>
        <CaseDisplayIdentifier>67846-05-24</CaseDisplayIdentifier>
        <CaseTypeID>63</CaseTypeID>
        <CaseTypeName>ערעור משפחה (עמ"ש)</CaseTypeName>
        <CaseName>ג'לאם נ' אבו-אלקאהר</CaseName>
        <FullAddress>בער באקה 1\1 באקה אל-גרביה </FullAddress>
        <MotionID>0</MotionID>
        <CasePleaID>0</CasePleaID>
        <LinkedCaseID>0</LinkedCaseID>
        <PartyID>1</PartyID>
        <CasePartyCategoryID>2</CasePartyCategoryID>
        <LegalEntityAddressID>76746231</LegalEntityAddressID>
        <PleaTypeID>6</PleaTypeID>
        <LawyerOfficeName>משרד עו"ד אמיר חסן נאטור</LawyerOfficeName>
        <LawyerOfficeID>7555406</LawyerOfficeID>
        <GroupPartyAlias/>
        <IsConverted>false</IsConverted>
        <LegalEntityNameID>7219114</LegalEntityNameID>
        <RepresentatedNamesOfAssistant/>
        <LegalEntityTypeID>4</LegalEntityTypeID>
        <IsVerdictExists>false</IsVerdictExists>
        <IsAsirAzir>false</IsAsirAzir>
        <IsPublicationProhibited>false</IsPublicationProhibited>
        <PublicationProhibitedFullName>אמיר חסן נאטור</PublicationProhibitedFullName>
      </CaseParties>
      <CaseParties>
        <PartyTypeName>צד</PartyTypeName>
        <ProceedingType>כתב טענות עיקרי</ProceedingType>
        <PleaName>הודעת ערעור</PleaName>
        <PartyBelonging>צד א'</PartyBelonging>
        <RoleName>מערער 1 - נתבע</RoleName>
        <IsSubProceeding>FALSE</IsSubProceeding>
        <FullName>אחמד ג'לאם</FullName>
        <FirstName>אחמד</FirstName>
        <LastName>ג'לאם</LastName>
        <PartyPropertyName/>
        <AuthenticationTypeAndNumber>ת"ז 308167220</AuthenticationTypeAndNumber>
        <RepresentatedOrRepresentativesNames>רואנא אטרש, אמיר חסן נאטור</RepresentatedOrRepresentativesNames>
        <RepresentatedOrRepresentativesCount>2</RepresentatedOrRepresentativesCount>
        <InvitedBy/>
        <CaseID>81263287</CaseID>
        <CaseJudicialPersonPresentationDS>
          <CaseJudicalPersonActive>
            <CaseID>81263287</CaseID>
            <JudicialPersonID>023469166@GOV.IL</JudicialPersonID>
            <JudicialPersonTypeID>1</JudicialPersonTypeID>
            <JudicialTypeID>3</JudicialTypeID>
            <IsChairman>true</IsChairman>
            <TreatmentStartDate>2024-05-28T12:41:10.7+03:00</TreatmentStartDate>
            <TreatmentFinishDate>9999-12-31T23:59:59.997+02:00</TreatmentFinishDate>
            <IdentificationCardNumber>023469166</IdentificationCardNumber>
            <DisplayName>סארי ג'יוסי</DisplayName>
            <JudicialTypeName>הרכב שופטים</JudicialTypeName>
            <CaseJudicialGroupNumber>581472</CaseJudicialGroupNumber>
            <FirstName>סארי</FirstName>
            <LastName>ג'יוסי</LastName>
            <JudicialPersonTitle>שופט</JudicialPersonTitle>
          </CaseJudicalPersonActive>
          <CaseJudicalPersonActive>
            <CaseID>81263287</CaseID>
            <JudicialPersonID>028600542@GOV.IL</JudicialPersonID>
            <JudicialPersonTypeID>1</JudicialPersonTypeID>
            <JudicialTypeID>3</JudicialTypeID>
            <IsChairman>false</IsChairman>
            <TreatmentStartDate>2024-05-28T12:41:10.7+03:00</TreatmentStartDate>
            <TreatmentFinishDate>9999-12-31T23:59:59.997+02:00</TreatmentFinishDate>
            <IdentificationCardNumber>028600542</IdentificationCardNumber>
            <DisplayName>עפרה אטיאס</DisplayName>
            <JudicialTypeName>הרכב שופטים</JudicialTypeName>
            <CaseJudicialGroupNumber>581472</CaseJudicialGroupNumber>
            <FirstName>עפרה</FirstName>
            <LastName>אטיאס</LastName>
            <JudicialPersonTitle>שופט</JudicialPersonTitle>
          </CaseJudicalPersonActive>
          <CaseJudicalPersonActive>
            <CaseID>81263287</CaseID>
            <JudicialPersonID>027879451@GOV.IL</JudicialPersonID>
            <JudicialPersonTypeID>1</JudicialPersonTypeID>
            <JudicialTypeID>3</JudicialTypeID>
            <IsChairman>false</IsChairman>
            <TreatmentStartDate>2024-05-28T12:41:10.7+03:00</TreatmentStartDate>
            <TreatmentFinishDate>9999-12-31T23:59:59.997+02:00</TreatmentFinishDate>
            <IdentificationCardNumber>027879451</IdentificationCardNumber>
            <DisplayName>ניצן סילמן</DisplayName>
            <JudicialTypeName>הרכב שופטים</JudicialTypeName>
            <CaseJudicialGroupNumber>581472</CaseJudicialGroupNumber>
            <FirstName>ניצן</FirstName>
            <LastName>סילמן</LastName>
            <JudicialPersonTitle>שופט</JudicialPersonTitle>
          </CaseJudicalPersonActive>
        </CaseJudicialPersonPresentationDS>
        <CasePartyID>270700197</CasePartyID>
        <PartyTypeID>1</PartyTypeID>
        <ActivityStatusID>1</ActivityStatusID>
        <PartyAliasID>5</PartyAliasID>
        <PartyAliasName>מערער</PartyAliasName>
        <OrdinalNumber>1</OrdinalNumber>
        <LegalEntityID>73205940</LegalEntityID>
        <CaseLegalEntityID>129043382</CaseLegalEntityID>
        <AuthenticationTypeID>1</AuthenticationTypeID>
        <AuthenticationTypeName>ת"ז</AuthenticationTypeName>
        <LegalEntityNumber>308167220</LegalEntityNumber>
        <IsMainPartyType>true</IsMainPartyType>
        <CaseDisplayIdentifier>67846-05-24</CaseDisplayIdentifier>
        <CaseTypeID>63</CaseTypeID>
        <CaseTypeName>ערעור משפחה (עמ"ש)</CaseTypeName>
        <CaseName>ג'לאם נ' אבו-אלקאהר</CaseName>
        <FullAddress>כפר יאסיף כפר יאסיף </FullAddress>
        <MotionID>0</MotionID>
        <CasePleaID>0</CasePleaID>
        <FatherName>נימר</FatherName>
        <LinkedCaseID>0</LinkedCaseID>
        <PartyID>1</PartyID>
        <CasePartyCategoryID>2</CasePartyCategoryID>
        <LegalEntityAddressID>88725432</LegalEntityAddressID>
        <PleaTypeID>6</PleaTypeID>
        <GroupPartyAlias>מערערים</GroupPartyAlias>
        <IsConverted>false</IsConverted>
        <LegalEntityRegisteredNameID>7027231</LegalEntityRegisteredNameID>
        <LegalEntityNameID>95862425</LegalEntityNameID>
        <RepresentatedNamesOfAssistant/>
        <LegalEntityTypeID>1</LegalEntityTypeID>
        <IsVerdictExists>false</IsVerdictExists>
        <IsAsirAzir>false</IsAsirAzir>
        <IsPublicationProhibited>false</IsPublicationProhibited>
        <PublicationProhibitedFullName>אחמד ג'לאם</PublicationProhibitedFullName>
      </CaseParties>
      <CaseParties>
        <PartyTypeName>צד</PartyTypeName>
        <ProceedingType>כתב טענות עיקרי</ProceedingType>
        <PleaName>הודעת ערעור</PleaName>
        <PartyBelonging>צד ב'</PartyBelonging>
        <RoleName>משיב 1 - תובע</RoleName>
        <IsSubProceeding>FALSE</IsSubProceeding>
        <FullName>נור אבו-אלקאהר</FullName>
        <FirstName>נור</FirstName>
        <LastName>אבו-אלקאהר</LastName>
        <PartyPropertyName/>
        <AuthenticationTypeAndNumber>דרכון C3J9MOM46</AuthenticationTypeAndNumber>
        <RepresentatedOrRepresentativesNames>אריאלה רוזנטל סודרי</RepresentatedOrRepresentativesNames>
        <RepresentatedOrRepresentativesCount>1</RepresentatedOrRepresentativesCount>
        <InvitedBy/>
        <CaseID>81263287</CaseID>
        <CaseJudicialPersonPresentationDS>
          <CaseJudicalPersonActive>
            <CaseID>81263287</CaseID>
            <JudicialPersonID>023469166@GOV.IL</JudicialPersonID>
            <JudicialPersonTypeID>1</JudicialPersonTypeID>
            <JudicialTypeID>3</JudicialTypeID>
            <IsChairman>true</IsChairman>
            <TreatmentStartDate>2024-05-28T12:41:10.7+03:00</TreatmentStartDate>
            <TreatmentFinishDate>9999-12-31T23:59:59.997+02:00</TreatmentFinishDate>
            <IdentificationCardNumber>023469166</IdentificationCardNumber>
            <DisplayName>סארי ג'יוסי</DisplayName>
            <JudicialTypeName>הרכב שופטים</JudicialTypeName>
            <CaseJudicialGroupNumber>581472</CaseJudicialGroupNumber>
            <FirstName>סארי</FirstName>
            <LastName>ג'יוסי</LastName>
            <JudicialPersonTitle>שופט</JudicialPersonTitle>
          </CaseJudicalPersonActive>
          <CaseJudicalPersonActive>
            <CaseID>81263287</CaseID>
            <JudicialPersonID>028600542@GOV.IL</JudicialPersonID>
            <JudicialPersonTypeID>1</JudicialPersonTypeID>
            <JudicialTypeID>3</JudicialTypeID>
            <IsChairman>false</IsChairman>
            <TreatmentStartDate>2024-05-28T12:41:10.7+03:00</TreatmentStartDate>
            <TreatmentFinishDate>9999-12-31T23:59:59.997+02:00</TreatmentFinishDate>
            <IdentificationCardNumber>028600542</IdentificationCardNumber>
            <DisplayName>עפרה אטיאס</DisplayName>
            <JudicialTypeName>הרכב שופטים</JudicialTypeName>
            <CaseJudicialGroupNumber>581472</CaseJudicialGroupNumber>
            <FirstName>עפרה</FirstName>
            <LastName>אטיאס</LastName>
            <JudicialPersonTitle>שופט</JudicialPersonTitle>
          </CaseJudicalPersonActive>
          <CaseJudicalPersonActive>
            <CaseID>81263287</CaseID>
            <JudicialPersonID>027879451@GOV.IL</JudicialPersonID>
            <JudicialPersonTypeID>1</JudicialPersonTypeID>
            <JudicialTypeID>3</JudicialTypeID>
            <IsChairman>false</IsChairman>
            <TreatmentStartDate>2024-05-28T12:41:10.7+03:00</TreatmentStartDate>
            <TreatmentFinishDate>9999-12-31T23:59:59.997+02:00</TreatmentFinishDate>
            <IdentificationCardNumber>027879451</IdentificationCardNumber>
            <DisplayName>ניצן סילמן</DisplayName>
            <JudicialTypeName>הרכב שופטים</JudicialTypeName>
            <CaseJudicialGroupNumber>581472</CaseJudicialGroupNumber>
            <FirstName>ניצן</FirstName>
            <LastName>סילמן</LastName>
            <JudicialPersonTitle>שופט</JudicialPersonTitle>
          </CaseJudicalPersonActive>
        </CaseJudicialPersonPresentationDS>
        <CasePartyID>270700198</CasePartyID>
        <PartyTypeID>1</PartyTypeID>
        <ActivityStatusID>1</ActivityStatusID>
        <PartyAliasID>4</PartyAliasID>
        <PartyAliasName>משיב</PartyAliasName>
        <OrdinalNumber>1</OrdinalNumber>
        <LegalEntityID>81614982</LegalEntityID>
        <CaseLegalEntityID>129043383</CaseLegalEntityID>
        <AuthenticationTypeID>2</AuthenticationTypeID>
        <AuthenticationTypeName>דרכון</AuthenticationTypeName>
        <LegalEntityNumber>C3J9MOM46</LegalEntityNumber>
        <IsMainPartyType>true</IsMainPartyType>
        <CaseDisplayIdentifier>67846-05-24</CaseDisplayIdentifier>
        <CaseTypeID>63</CaseTypeID>
        <CaseTypeName>ערעור משפחה (עמ"ש)</CaseTypeName>
        <CaseName>ג'לאם נ' אבו-אלקאהר</CaseName>
        <FullAddress>Onchenstr. 33, 12059 Berlin, Germany כפר יאסיף </FullAddress>
        <MotionID>0</MotionID>
        <CasePleaID>0</CasePleaID>
        <PassportCountryID>500</PassportCountryID>
        <LinkedCaseID>0</LinkedCaseID>
        <PartyID>2</PartyID>
        <CasePartyCategoryID>2</CasePartyCategoryID>
        <LegalEntityAddressID>88725431</LegalEntityAddressID>
        <PleaTypeID>6</PleaTypeID>
        <GroupPartyAlias>משיבים</GroupPartyAlias>
        <IsConverted>false</IsConverted>
        <LegalEntityNameID>95862424</LegalEntityNameID>
        <RepresentatedNamesOfAssistant/>
        <LegalEntityTypeID>2</LegalEntityTypeID>
        <IsVerdictExists>false</IsVerdictExists>
        <IsAsirAzir>false</IsAsirAzir>
        <IsPublicationProhibited>false</IsPublicationProhibited>
        <PublicationProhibitedFullName>נור אבו-אלקאהר</PublicationProhibitedFullName>
      </CaseParties>
    </CasePartiesSelectionDS>
    <CaseName>ג'לאם נ' אבו-אלקאהר</CaseName>
    <CaseDisplayIdentifier>67846-05-24</CaseDisplayIdentifier>
    <CaseInterestID>10131</CaseInterestID>
    <CaseTypeShortName>עמ"ש</CaseTypeShortName>
  </dt_DecisionCase>
  <dt_DecisionJudgePanel>
    <JudgeID>023469166@GOV.IL</JudgeID>
    <DisplayName>ג'יוסי</DisplayName>
    <RoleName>שופט</RoleName>
    <UserTitleName>שופט</UserTitleName>
  </dt_DecisionJudgePanel>
  <dt_DecisionJudgePanel>
    <JudgeID>028600542@GOV.IL</JudgeID>
    <DisplayName>אטיאס</DisplayName>
    <RoleName>שופט</RoleName>
    <UserTitleName>שופטת</UserTitleName>
  </dt_DecisionJudgePanel>
  <dt_DecisionJudgePanel>
    <JudgeID>027879451@GOV.IL</JudgeID>
    <DisplayName>סילמן</DisplayName>
    <RoleName>שופט</RoleName>
    <UserTitleName>שופט</UserTitleName>
  </dt_DecisionJudgePanel>
  <dt_LegalEntityDetails>
    <Fax/>
    <Phone/>
    <AddressDesc/>
    <PartyID>1</PartyID>
    <PartyTypeID>3</PartyTypeID>
    <DecisionID>0</DecisionID>
    <AssistantRoleID>104</AssistantRoleID>
    <StreetName/>
    <CityName/>
    <FullName>ליה ג'לאם</FullName>
    <Email/>
    <IsPublicationProhibited>false</IsPublicationProhibited>
  </dt_LegalEntityDetails>
  <dt_LegalEntityDetails>
    <Fax>077-2498594</Fax>
    <Phone>04-6528588</Phone>
    <AddressDesc/>
    <PartyID>1</PartyID>
    <PartyTypeID>2</PartyTypeID>
    <DecisionID>0</DecisionID>
    <StreetName>כפר קרע</StreetName>
    <ZipCode>30075</ZipCode>
    <CityName>כפר קרע</CityName>
    <FullName>נסרין אעלימי</FullName>
    <Email>ak.nasreen@gmail.com</Email>
    <IsPublicationProhibited>false</IsPublicationProhibited>
  </dt_LegalEntityDetails>
  <dt_LegalEntityDetails>
    <Fax>077-7668665</Fax>
    <PartyID>2</PartyID>
    <PartyTypeID>2</PartyTypeID>
    <DecisionID>0</DecisionID>
    <StreetName>שד' מנחם בגין 35</StreetName>
    <ZipCode>3952065</ZipCode>
    <CityName>טירת כרמל</CityName>
    <FullName>אריאלה רוזנטל סודרי</FullName>
    <Email>arrosentnet@gmail.com</Email>
    <IsPublicationProhibited>false</IsPublicationProhibited>
  </dt_LegalEntityDetails>
  <dt_LegalEntityDetails>
    <Fax>04-6160414</Fax>
    <PartyID>1</PartyID>
    <PartyTypeID>2</PartyTypeID>
    <DecisionID>0</DecisionID>
    <StreetName>כפר דבוריה</StreetName>
    <ZipCode>16920</ZipCode>
    <CityName>אכסאל</CityName>
    <FullName>רואנא אטרש</FullName>
    <Email>atrash.law@gmail.com</Email>
    <IsPublicationProhibited>false</IsPublicationProhibited>
  </dt_LegalEntityDetails>
  <dt_LegalEntityDetails>
    <Fax>074-7487094</Fax>
    <Phone>04-8698094</Phone>
    <AddressDesc>קומה 1-</AddressDesc>
    <PartyID>1</PartyID>
    <PartyTypeID>3</PartyTypeID>
    <DecisionID>0</DecisionID>
    <AssistantRoleID>1</AssistantRoleID>
    <StreetName>היכל המשפט</StreetName>
    <CityName>חיפה</CityName>
    <FullName>  תרגום - סוהיל</FullName>
    <Email>qtsouheil@gmail.com</Email>
    <IsPublicationProhibited>false</IsPublicationProhibited>
  </dt_LegalEntityDetails>
  <dt_LegalEntityDetails>
    <PartyID>1</PartyID>
    <PartyTypeID>1</PartyTypeID>
    <DecisionID>0</DecisionID>
    <StreetName>כפר יאסיף</StreetName>
    <CityName>כפר יאסיף</CityName>
    <FullName>אחמד  ג'לאם</FullName>
    <IsPublicationProhibited>false</IsPublicationProhibited>
  </dt_LegalEntityDetails>
  <dt_LegalEntityDetails>
    <PartyID>2</PartyID>
    <PartyTypeID>1</PartyTypeID>
    <DecisionID>0</DecisionID>
    <StreetName>Onchenstr. 33, 12059 Berlin, Germany</StreetName>
    <CityName>כפר יאסיף</CityName>
    <FullName>נור אבו-אלקאהר</FullName>
    <Email>Nur_abuk@hotmail.com</Email>
    <IsPublicationProhibited>false</IsPublicationProhibited>
  </dt_LegalEntityDetails>
  <dt_LegalEntityDetails>
    <Fax>04-6385601</Fax>
    <Phone>04-6386765</Phone>
    <PartyID>1</PartyID>
    <PartyTypeID>2</PartyTypeID>
    <DecisionID>0</DecisionID>
    <StreetName>בער באקה 1\1</StreetName>
    <ZipCode>30100</ZipCode>
    <CityName>באקה אל-גרביה</CityName>
    <FullName>אמיר חסן נאטור</FullName>
    <Email>ameer.lawoffice@gmail.com</Email>
    <IsPublicationProhibited>false</IsPublicationProhibited>
  </dt_LegalEntityDetails>
  <dt_CaseJudicalPersonActive>
    <CaseJudicalPerson>שופט סארי ג'יוסי, שופטת עפרה אטיאס, שופט ניצן סילמן</CaseJudicalPerson>
  </dt_CaseJudicalPersonActive>
  <dt_Sitting>
    <PreviousMeetingDate>2024-06-24T12:00:00+03:00</PreviousMeetingDate>
    <PreviousSittingTypeID>5</PreviousSittingTypeID>
    <PreviousMeetingDisplayName>שופטת עפרה אטיאס</PreviousMeetingDisplayName>
    <PreviousMeetingRoleName>שופט</PreviousMeetingRoleName>
    <PreviousMeetingUserTitleName>שופטת</PreviousMeetingUserTitleName>
    <PreviousMeetingUserUPN>028600542@GOV.IL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7C62B3-33B9-46D7-853B-C4FB8C917EB9}">
  <ds:schemaRefs/>
</ds:datastoreItem>
</file>

<file path=customXml/itemProps2.xml><?xml version="1.0" encoding="utf-8"?>
<ds:datastoreItem xmlns:ds="http://schemas.openxmlformats.org/officeDocument/2006/customXml" ds:itemID="{90C4FACE-077F-451E-823A-4F625EC63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6068</Words>
  <Characters>30342</Characters>
  <Application>Microsoft Office Word</Application>
  <DocSecurity>0</DocSecurity>
  <Lines>252</Lines>
  <Paragraphs>72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36338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רותם כהן</cp:lastModifiedBy>
  <cp:revision>2</cp:revision>
  <cp:lastPrinted>2024-07-01T08:48:00Z</cp:lastPrinted>
  <dcterms:created xsi:type="dcterms:W3CDTF">2024-07-08T07:45:00Z</dcterms:created>
  <dcterms:modified xsi:type="dcterms:W3CDTF">2024-07-08T07:45:00Z</dcterms:modified>
</cp:coreProperties>
</file>